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5C1" w:rsidRDefault="003A15C1" w:rsidP="00547354">
      <w:pPr>
        <w:spacing w:after="0" w:line="240" w:lineRule="auto"/>
        <w:rPr>
          <w:rFonts w:ascii="Times New Roman" w:hAnsi="Times New Roman"/>
          <w:lang w:val="en-GB"/>
        </w:rPr>
      </w:pPr>
    </w:p>
    <w:p w:rsidR="003A15C1" w:rsidRDefault="003A15C1" w:rsidP="00547354">
      <w:pPr>
        <w:spacing w:after="0" w:line="240" w:lineRule="auto"/>
        <w:rPr>
          <w:rFonts w:ascii="Times New Roman" w:hAnsi="Times New Roman"/>
          <w:lang w:val="en-GB"/>
        </w:rPr>
      </w:pPr>
    </w:p>
    <w:p w:rsidR="003A15C1" w:rsidRPr="000143A2" w:rsidRDefault="003A15C1" w:rsidP="00547354">
      <w:pPr>
        <w:spacing w:after="0" w:line="240" w:lineRule="auto"/>
        <w:rPr>
          <w:rFonts w:ascii="Times New Roman" w:hAnsi="Times New Roman"/>
        </w:rPr>
      </w:pPr>
      <w:r w:rsidRPr="000143A2">
        <w:rPr>
          <w:rFonts w:ascii="Times New Roman" w:hAnsi="Times New Roman"/>
          <w:lang w:val="en-GB"/>
        </w:rPr>
        <w:t xml:space="preserve">To: </w:t>
      </w:r>
      <w:r w:rsidRPr="000143A2">
        <w:rPr>
          <w:rFonts w:ascii="Times New Roman" w:hAnsi="Times New Roman"/>
          <w:lang w:val="en-GB"/>
        </w:rPr>
        <w:tab/>
      </w:r>
      <w:r w:rsidRPr="000143A2">
        <w:rPr>
          <w:rFonts w:ascii="Times New Roman" w:hAnsi="Times New Roman"/>
        </w:rPr>
        <w:t>Ms. Lorraine Anderson, First Secretary</w:t>
      </w:r>
    </w:p>
    <w:p w:rsidR="003A15C1" w:rsidRPr="000143A2" w:rsidRDefault="003A15C1" w:rsidP="00547354">
      <w:pPr>
        <w:spacing w:after="0" w:line="240" w:lineRule="auto"/>
        <w:rPr>
          <w:rFonts w:ascii="Times New Roman" w:hAnsi="Times New Roman"/>
        </w:rPr>
      </w:pPr>
      <w:r w:rsidRPr="000143A2">
        <w:rPr>
          <w:rFonts w:ascii="Times New Roman" w:hAnsi="Times New Roman"/>
        </w:rPr>
        <w:tab/>
        <w:t>Permanent Mission of Canada</w:t>
      </w:r>
    </w:p>
    <w:p w:rsidR="003A15C1" w:rsidRPr="000143A2" w:rsidRDefault="003A15C1" w:rsidP="00547354">
      <w:pPr>
        <w:spacing w:after="0" w:line="240" w:lineRule="auto"/>
        <w:rPr>
          <w:rFonts w:ascii="Times New Roman" w:hAnsi="Times New Roman"/>
        </w:rPr>
      </w:pPr>
      <w:r w:rsidRPr="000143A2">
        <w:rPr>
          <w:rFonts w:ascii="Times New Roman" w:hAnsi="Times New Roman"/>
        </w:rPr>
        <w:tab/>
      </w:r>
      <w:hyperlink r:id="rId6" w:history="1">
        <w:r w:rsidRPr="000143A2">
          <w:rPr>
            <w:rStyle w:val="Hyperlink"/>
            <w:rFonts w:ascii="Times New Roman" w:hAnsi="Times New Roman"/>
          </w:rPr>
          <w:t>Lorraine.Anderson@international.gc.ca</w:t>
        </w:r>
      </w:hyperlink>
      <w:r w:rsidRPr="000143A2">
        <w:rPr>
          <w:rFonts w:ascii="Times New Roman" w:hAnsi="Times New Roman"/>
        </w:rPr>
        <w:t xml:space="preserve"> </w:t>
      </w:r>
    </w:p>
    <w:p w:rsidR="003A15C1" w:rsidRPr="000143A2" w:rsidRDefault="003A15C1" w:rsidP="00547354">
      <w:pPr>
        <w:spacing w:after="0" w:line="240" w:lineRule="auto"/>
        <w:rPr>
          <w:rFonts w:ascii="Times New Roman" w:hAnsi="Times New Roman"/>
        </w:rPr>
      </w:pPr>
    </w:p>
    <w:p w:rsidR="003A15C1" w:rsidRPr="000143A2" w:rsidRDefault="003A15C1" w:rsidP="00547354">
      <w:pPr>
        <w:spacing w:after="0" w:line="240" w:lineRule="auto"/>
        <w:rPr>
          <w:rFonts w:ascii="Times New Roman" w:hAnsi="Times New Roman"/>
        </w:rPr>
      </w:pPr>
      <w:r w:rsidRPr="000143A2">
        <w:rPr>
          <w:rFonts w:ascii="Times New Roman" w:hAnsi="Times New Roman"/>
        </w:rPr>
        <w:tab/>
        <w:t>Ms. Rana Burley, Deputy Director</w:t>
      </w:r>
    </w:p>
    <w:p w:rsidR="003A15C1" w:rsidRPr="000143A2" w:rsidRDefault="003A15C1" w:rsidP="00547354">
      <w:pPr>
        <w:spacing w:after="0" w:line="240" w:lineRule="auto"/>
        <w:rPr>
          <w:rFonts w:ascii="Times New Roman" w:hAnsi="Times New Roman"/>
        </w:rPr>
      </w:pPr>
      <w:r w:rsidRPr="000143A2">
        <w:rPr>
          <w:rFonts w:ascii="Times New Roman" w:hAnsi="Times New Roman"/>
        </w:rPr>
        <w:tab/>
        <w:t>Oceans and Law Division (JLO)</w:t>
      </w:r>
    </w:p>
    <w:p w:rsidR="003A15C1" w:rsidRPr="000143A2" w:rsidRDefault="003A15C1" w:rsidP="00547354">
      <w:pPr>
        <w:spacing w:after="0" w:line="240" w:lineRule="auto"/>
        <w:rPr>
          <w:rFonts w:ascii="Times New Roman" w:hAnsi="Times New Roman"/>
        </w:rPr>
      </w:pPr>
      <w:r w:rsidRPr="000143A2">
        <w:rPr>
          <w:rFonts w:ascii="Times New Roman" w:hAnsi="Times New Roman"/>
        </w:rPr>
        <w:tab/>
        <w:t>Global Affairs Canada</w:t>
      </w:r>
    </w:p>
    <w:p w:rsidR="003A15C1" w:rsidRPr="000143A2" w:rsidRDefault="003A15C1" w:rsidP="00547354">
      <w:pPr>
        <w:spacing w:after="0" w:line="240" w:lineRule="auto"/>
        <w:rPr>
          <w:rFonts w:ascii="Times New Roman" w:hAnsi="Times New Roman"/>
        </w:rPr>
      </w:pPr>
      <w:r w:rsidRPr="000143A2">
        <w:rPr>
          <w:rFonts w:ascii="Times New Roman" w:hAnsi="Times New Roman"/>
        </w:rPr>
        <w:tab/>
      </w:r>
      <w:hyperlink r:id="rId7" w:history="1">
        <w:r w:rsidRPr="000143A2">
          <w:rPr>
            <w:rStyle w:val="Hyperlink"/>
            <w:rFonts w:ascii="Times New Roman" w:hAnsi="Times New Roman"/>
          </w:rPr>
          <w:t>rana.burley@international.gc.ca</w:t>
        </w:r>
      </w:hyperlink>
      <w:r w:rsidRPr="000143A2">
        <w:rPr>
          <w:rFonts w:ascii="Times New Roman" w:hAnsi="Times New Roman"/>
        </w:rPr>
        <w:t xml:space="preserve"> </w:t>
      </w:r>
    </w:p>
    <w:p w:rsidR="003A15C1" w:rsidRDefault="003A15C1" w:rsidP="00547354">
      <w:pPr>
        <w:spacing w:after="0" w:line="240" w:lineRule="auto"/>
        <w:rPr>
          <w:rFonts w:ascii="Times New Roman" w:hAnsi="Times New Roman"/>
        </w:rPr>
      </w:pPr>
    </w:p>
    <w:p w:rsidR="003A15C1" w:rsidRDefault="003A15C1" w:rsidP="00547354">
      <w:pPr>
        <w:spacing w:after="0" w:line="240" w:lineRule="auto"/>
        <w:rPr>
          <w:lang w:val="en-CA" w:eastAsia="en-GB"/>
        </w:rPr>
      </w:pPr>
      <w:r>
        <w:rPr>
          <w:rFonts w:ascii="Times New Roman" w:hAnsi="Times New Roman"/>
        </w:rPr>
        <w:tab/>
        <w:t xml:space="preserve">Ms. </w:t>
      </w:r>
      <w:r>
        <w:rPr>
          <w:lang w:val="en-CA" w:eastAsia="en-GB"/>
        </w:rPr>
        <w:t>Christina Paradiso, Executive Director</w:t>
      </w:r>
    </w:p>
    <w:p w:rsidR="003A15C1" w:rsidRDefault="003A15C1" w:rsidP="00F46BFB">
      <w:pPr>
        <w:spacing w:after="0" w:line="240" w:lineRule="auto"/>
        <w:ind w:firstLine="708"/>
        <w:rPr>
          <w:lang w:val="en-CA" w:eastAsia="en-GB"/>
        </w:rPr>
      </w:pPr>
      <w:r>
        <w:rPr>
          <w:lang w:val="en-CA" w:eastAsia="en-GB"/>
        </w:rPr>
        <w:t>Chemicals Management Division</w:t>
      </w:r>
    </w:p>
    <w:p w:rsidR="003A15C1" w:rsidRDefault="003A15C1" w:rsidP="00F46BFB">
      <w:pPr>
        <w:spacing w:after="0" w:line="240" w:lineRule="auto"/>
        <w:ind w:firstLine="708"/>
        <w:rPr>
          <w:rFonts w:ascii="Segoe UI" w:hAnsi="Segoe UI"/>
          <w:shd w:val="clear" w:color="auto" w:fill="FFFFFF"/>
        </w:rPr>
      </w:pPr>
      <w:r>
        <w:rPr>
          <w:rFonts w:ascii="Segoe UI" w:hAnsi="Segoe UI"/>
          <w:shd w:val="clear" w:color="auto" w:fill="FFFFFF"/>
        </w:rPr>
        <w:t>Environment and Climate Change Canada</w:t>
      </w:r>
    </w:p>
    <w:p w:rsidR="003A15C1" w:rsidRDefault="003A15C1" w:rsidP="00F46BFB">
      <w:pPr>
        <w:spacing w:after="0" w:line="240" w:lineRule="auto"/>
        <w:ind w:firstLine="708"/>
        <w:rPr>
          <w:lang w:val="en-CA" w:eastAsia="en-GB"/>
        </w:rPr>
      </w:pPr>
      <w:hyperlink r:id="rId8" w:history="1">
        <w:r w:rsidRPr="001B52E9">
          <w:rPr>
            <w:rStyle w:val="Hyperlink"/>
            <w:lang w:val="en-CA" w:eastAsia="en-GB"/>
          </w:rPr>
          <w:t>christina.paradiso@canada.ca</w:t>
        </w:r>
      </w:hyperlink>
    </w:p>
    <w:p w:rsidR="003A15C1" w:rsidRDefault="003A15C1" w:rsidP="00F46BFB">
      <w:pPr>
        <w:spacing w:after="0" w:line="240" w:lineRule="auto"/>
        <w:ind w:firstLine="708"/>
        <w:rPr>
          <w:lang w:val="en-CA" w:eastAsia="en-GB"/>
        </w:rPr>
      </w:pPr>
    </w:p>
    <w:p w:rsidR="003A15C1" w:rsidRDefault="003A15C1" w:rsidP="00F46BFB">
      <w:pPr>
        <w:spacing w:after="0" w:line="240" w:lineRule="auto"/>
        <w:ind w:firstLine="708"/>
        <w:rPr>
          <w:lang w:val="en-CA" w:eastAsia="en-GB"/>
        </w:rPr>
      </w:pPr>
      <w:r>
        <w:rPr>
          <w:lang w:val="en-CA" w:eastAsia="en-GB"/>
        </w:rPr>
        <w:t>Ms. Gwen Goodier, Director General</w:t>
      </w:r>
    </w:p>
    <w:p w:rsidR="003A15C1" w:rsidRDefault="003A15C1" w:rsidP="00F46BFB">
      <w:pPr>
        <w:spacing w:after="0" w:line="240" w:lineRule="auto"/>
        <w:ind w:firstLine="708"/>
        <w:rPr>
          <w:lang w:val="en-CA" w:eastAsia="en-GB"/>
        </w:rPr>
      </w:pPr>
      <w:r>
        <w:rPr>
          <w:lang w:val="en-CA" w:eastAsia="en-GB"/>
        </w:rPr>
        <w:t>Industrial Sectors, Chemicals, and Waste Directorate</w:t>
      </w:r>
    </w:p>
    <w:p w:rsidR="003A15C1" w:rsidRDefault="003A15C1" w:rsidP="00F46BFB">
      <w:pPr>
        <w:spacing w:after="0" w:line="240" w:lineRule="auto"/>
        <w:ind w:firstLine="708"/>
        <w:rPr>
          <w:rFonts w:ascii="Segoe UI" w:hAnsi="Segoe UI"/>
          <w:shd w:val="clear" w:color="auto" w:fill="FFFFFF"/>
        </w:rPr>
      </w:pPr>
      <w:r>
        <w:rPr>
          <w:rFonts w:ascii="Segoe UI" w:hAnsi="Segoe UI"/>
          <w:shd w:val="clear" w:color="auto" w:fill="FFFFFF"/>
        </w:rPr>
        <w:t>Environment and Climate Change Canada</w:t>
      </w:r>
    </w:p>
    <w:p w:rsidR="003A15C1" w:rsidRDefault="003A15C1" w:rsidP="00F46BFB">
      <w:pPr>
        <w:spacing w:after="0" w:line="240" w:lineRule="auto"/>
        <w:ind w:firstLine="708"/>
        <w:rPr>
          <w:rFonts w:ascii="Times New Roman" w:hAnsi="Times New Roman"/>
        </w:rPr>
      </w:pPr>
      <w:hyperlink r:id="rId9" w:history="1">
        <w:r w:rsidRPr="001B52E9">
          <w:rPr>
            <w:rStyle w:val="Hyperlink"/>
            <w:rFonts w:ascii="Times New Roman" w:hAnsi="Times New Roman"/>
          </w:rPr>
          <w:t>gwen.goodier@canada.ca</w:t>
        </w:r>
      </w:hyperlink>
    </w:p>
    <w:p w:rsidR="003A15C1" w:rsidRPr="00F46BFB" w:rsidRDefault="003A15C1" w:rsidP="00F46BFB">
      <w:pPr>
        <w:spacing w:after="0" w:line="240" w:lineRule="auto"/>
        <w:ind w:firstLine="708"/>
        <w:rPr>
          <w:rFonts w:ascii="Times New Roman" w:hAnsi="Times New Roman"/>
        </w:rPr>
      </w:pPr>
    </w:p>
    <w:p w:rsidR="003A15C1" w:rsidRPr="000143A2" w:rsidRDefault="003A15C1" w:rsidP="00547354">
      <w:pPr>
        <w:spacing w:after="0" w:line="240" w:lineRule="auto"/>
        <w:rPr>
          <w:rFonts w:ascii="Times New Roman" w:hAnsi="Times New Roman"/>
        </w:rPr>
      </w:pPr>
    </w:p>
    <w:p w:rsidR="003A15C1" w:rsidRPr="000143A2" w:rsidRDefault="003A15C1" w:rsidP="00547354">
      <w:pPr>
        <w:spacing w:after="0" w:line="240" w:lineRule="auto"/>
        <w:rPr>
          <w:rFonts w:ascii="Times New Roman" w:hAnsi="Times New Roman"/>
        </w:rPr>
      </w:pPr>
      <w:r w:rsidRPr="000143A2">
        <w:rPr>
          <w:rFonts w:ascii="Times New Roman" w:hAnsi="Times New Roman"/>
        </w:rPr>
        <w:t xml:space="preserve">From: </w:t>
      </w:r>
      <w:r w:rsidRPr="000143A2">
        <w:rPr>
          <w:rFonts w:ascii="Times New Roman" w:hAnsi="Times New Roman"/>
        </w:rPr>
        <w:tab/>
        <w:t>Health and Environment Justice Support (HEJSupport)</w:t>
      </w:r>
      <w:r>
        <w:rPr>
          <w:rFonts w:ascii="Times New Roman" w:hAnsi="Times New Roman"/>
        </w:rPr>
        <w:t xml:space="preserve"> and the Canadian Environmental Law Association </w:t>
      </w:r>
    </w:p>
    <w:p w:rsidR="003A15C1" w:rsidRPr="000143A2" w:rsidRDefault="003A15C1" w:rsidP="00547354">
      <w:pPr>
        <w:spacing w:after="0" w:line="240" w:lineRule="auto"/>
        <w:rPr>
          <w:rFonts w:ascii="Times New Roman" w:hAnsi="Times New Roman"/>
        </w:rPr>
      </w:pPr>
    </w:p>
    <w:p w:rsidR="003A15C1" w:rsidRPr="000143A2" w:rsidRDefault="003A15C1" w:rsidP="00547354">
      <w:pPr>
        <w:spacing w:after="0" w:line="240" w:lineRule="auto"/>
        <w:rPr>
          <w:rFonts w:ascii="Times New Roman" w:hAnsi="Times New Roman"/>
        </w:rPr>
      </w:pPr>
      <w:r>
        <w:rPr>
          <w:rFonts w:ascii="Times New Roman" w:hAnsi="Times New Roman"/>
        </w:rPr>
        <w:t>Date:</w:t>
      </w:r>
      <w:r>
        <w:rPr>
          <w:rFonts w:ascii="Times New Roman" w:hAnsi="Times New Roman"/>
        </w:rPr>
        <w:tab/>
        <w:t>16</w:t>
      </w:r>
      <w:r w:rsidRPr="000143A2">
        <w:rPr>
          <w:rFonts w:ascii="Times New Roman" w:hAnsi="Times New Roman"/>
        </w:rPr>
        <w:t xml:space="preserve"> April, 2019</w:t>
      </w:r>
    </w:p>
    <w:p w:rsidR="003A15C1" w:rsidRPr="000143A2" w:rsidRDefault="003A15C1" w:rsidP="00547354">
      <w:pPr>
        <w:spacing w:after="0" w:line="240" w:lineRule="auto"/>
        <w:rPr>
          <w:rFonts w:ascii="Times New Roman" w:hAnsi="Times New Roman"/>
        </w:rPr>
      </w:pPr>
    </w:p>
    <w:p w:rsidR="003A15C1" w:rsidRPr="00D30299" w:rsidRDefault="003A15C1" w:rsidP="00283C41">
      <w:pPr>
        <w:spacing w:after="0" w:line="240" w:lineRule="auto"/>
        <w:ind w:left="705" w:hanging="705"/>
        <w:rPr>
          <w:rFonts w:ascii="Times New Roman" w:hAnsi="Times New Roman"/>
          <w:b/>
        </w:rPr>
      </w:pPr>
      <w:r w:rsidRPr="00D30299">
        <w:rPr>
          <w:rFonts w:ascii="Times New Roman" w:hAnsi="Times New Roman"/>
          <w:b/>
        </w:rPr>
        <w:t xml:space="preserve">Re: </w:t>
      </w:r>
      <w:r w:rsidRPr="007724D5">
        <w:rPr>
          <w:rFonts w:ascii="Times New Roman" w:hAnsi="Times New Roman"/>
          <w:b/>
        </w:rPr>
        <w:tab/>
      </w:r>
      <w:r w:rsidRPr="00D30299">
        <w:rPr>
          <w:rFonts w:ascii="Times New Roman" w:hAnsi="Times New Roman"/>
          <w:b/>
        </w:rPr>
        <w:t xml:space="preserve">Withdrawing the Stockholm Convention recycling exemptions for TetraBDE, PentaBDE, HexaBDE and HeptaBDE </w:t>
      </w:r>
    </w:p>
    <w:p w:rsidR="003A15C1" w:rsidRPr="000143A2" w:rsidRDefault="003A15C1" w:rsidP="00547354">
      <w:pPr>
        <w:spacing w:after="0" w:line="240" w:lineRule="auto"/>
        <w:rPr>
          <w:rFonts w:ascii="Times New Roman" w:hAnsi="Times New Roman"/>
        </w:rPr>
      </w:pPr>
    </w:p>
    <w:p w:rsidR="003A15C1" w:rsidRPr="000143A2" w:rsidRDefault="003A15C1" w:rsidP="00547354">
      <w:pPr>
        <w:spacing w:after="0" w:line="240" w:lineRule="auto"/>
        <w:rPr>
          <w:rFonts w:ascii="Times New Roman" w:hAnsi="Times New Roman"/>
        </w:rPr>
      </w:pPr>
    </w:p>
    <w:p w:rsidR="003A15C1" w:rsidRPr="000143A2" w:rsidRDefault="003A15C1" w:rsidP="00547354">
      <w:pPr>
        <w:spacing w:after="0" w:line="240" w:lineRule="auto"/>
        <w:rPr>
          <w:rFonts w:ascii="Times New Roman" w:hAnsi="Times New Roman"/>
        </w:rPr>
      </w:pPr>
      <w:r>
        <w:rPr>
          <w:rFonts w:ascii="Times New Roman" w:hAnsi="Times New Roman"/>
        </w:rPr>
        <w:t>Dear Ms. Anderson,</w:t>
      </w:r>
      <w:r w:rsidRPr="000143A2">
        <w:rPr>
          <w:rFonts w:ascii="Times New Roman" w:hAnsi="Times New Roman"/>
        </w:rPr>
        <w:t xml:space="preserve"> Ms. Burley,</w:t>
      </w:r>
      <w:r>
        <w:rPr>
          <w:rFonts w:ascii="Times New Roman" w:hAnsi="Times New Roman"/>
        </w:rPr>
        <w:t xml:space="preserve"> Ms. Paradiso, and Ms. Goodier,</w:t>
      </w:r>
    </w:p>
    <w:p w:rsidR="003A15C1" w:rsidRPr="000143A2" w:rsidRDefault="003A15C1" w:rsidP="00547354">
      <w:pPr>
        <w:spacing w:after="0" w:line="240" w:lineRule="auto"/>
        <w:rPr>
          <w:rFonts w:ascii="Times New Roman" w:hAnsi="Times New Roman"/>
        </w:rPr>
      </w:pPr>
    </w:p>
    <w:p w:rsidR="003A15C1" w:rsidRPr="000143A2" w:rsidRDefault="003A15C1" w:rsidP="00547354">
      <w:pPr>
        <w:spacing w:after="0" w:line="240" w:lineRule="auto"/>
        <w:rPr>
          <w:rFonts w:ascii="Times New Roman" w:hAnsi="Times New Roman"/>
        </w:rPr>
      </w:pPr>
      <w:r>
        <w:rPr>
          <w:rFonts w:ascii="Times New Roman" w:hAnsi="Times New Roman"/>
        </w:rPr>
        <w:t>Health and Environment Justice Support (</w:t>
      </w:r>
      <w:hyperlink r:id="rId10" w:history="1">
        <w:r w:rsidRPr="00E43602">
          <w:rPr>
            <w:rStyle w:val="Hyperlink"/>
            <w:rFonts w:ascii="Times New Roman" w:hAnsi="Times New Roman"/>
          </w:rPr>
          <w:t>HEJSupport</w:t>
        </w:r>
      </w:hyperlink>
      <w:r>
        <w:rPr>
          <w:rFonts w:ascii="Times New Roman" w:hAnsi="Times New Roman"/>
        </w:rPr>
        <w:t xml:space="preserve">) and the </w:t>
      </w:r>
      <w:r w:rsidRPr="00E43602">
        <w:rPr>
          <w:rFonts w:ascii="Times New Roman" w:hAnsi="Times New Roman"/>
        </w:rPr>
        <w:t>Canadian Environmental Law Association (</w:t>
      </w:r>
      <w:hyperlink r:id="rId11" w:history="1">
        <w:r w:rsidRPr="00E43602">
          <w:rPr>
            <w:rStyle w:val="Hyperlink"/>
            <w:rFonts w:ascii="Times New Roman" w:hAnsi="Times New Roman"/>
          </w:rPr>
          <w:t>CELA</w:t>
        </w:r>
      </w:hyperlink>
      <w:r w:rsidRPr="00E43602">
        <w:rPr>
          <w:rFonts w:ascii="Times New Roman" w:hAnsi="Times New Roman"/>
        </w:rPr>
        <w:t>)</w:t>
      </w:r>
      <w:r>
        <w:rPr>
          <w:rFonts w:ascii="Times New Roman" w:hAnsi="Times New Roman"/>
        </w:rPr>
        <w:t xml:space="preserve"> </w:t>
      </w:r>
      <w:r w:rsidRPr="000143A2">
        <w:rPr>
          <w:rFonts w:ascii="Times New Roman" w:hAnsi="Times New Roman"/>
        </w:rPr>
        <w:t xml:space="preserve">are writing to you in your capacities as official Stockholm Convention contact points with concerns about Canada’s recycling exemptions under the Stockholm Convention for materials such as plastics and foam containing the </w:t>
      </w:r>
      <w:r>
        <w:rPr>
          <w:rFonts w:ascii="Times New Roman" w:hAnsi="Times New Roman"/>
        </w:rPr>
        <w:t xml:space="preserve">following persistent organic pollutants used as </w:t>
      </w:r>
      <w:r w:rsidRPr="000143A2">
        <w:rPr>
          <w:rFonts w:ascii="Times New Roman" w:hAnsi="Times New Roman"/>
        </w:rPr>
        <w:t>flame retardant chemicals, TetraBDE, PentaBDE, HexaBDE and HeptaBDE.</w:t>
      </w:r>
      <w:r w:rsidRPr="000143A2">
        <w:rPr>
          <w:rStyle w:val="FootnoteReference"/>
          <w:rFonts w:ascii="Times New Roman" w:hAnsi="Times New Roman"/>
        </w:rPr>
        <w:footnoteReference w:id="1"/>
      </w:r>
      <w:r w:rsidRPr="000143A2">
        <w:rPr>
          <w:rFonts w:ascii="Times New Roman" w:hAnsi="Times New Roman"/>
        </w:rPr>
        <w:t xml:space="preserve"> These concerns are based on a review of </w:t>
      </w:r>
      <w:r>
        <w:rPr>
          <w:rFonts w:ascii="Times New Roman" w:hAnsi="Times New Roman"/>
        </w:rPr>
        <w:t>recycling</w:t>
      </w:r>
      <w:r w:rsidRPr="000143A2">
        <w:rPr>
          <w:rFonts w:ascii="Times New Roman" w:hAnsi="Times New Roman"/>
        </w:rPr>
        <w:t xml:space="preserve"> practice</w:t>
      </w:r>
      <w:r>
        <w:rPr>
          <w:rFonts w:ascii="Times New Roman" w:hAnsi="Times New Roman"/>
        </w:rPr>
        <w:t xml:space="preserve"> of products containing these POPs</w:t>
      </w:r>
      <w:r w:rsidRPr="000143A2">
        <w:rPr>
          <w:rFonts w:ascii="Times New Roman" w:hAnsi="Times New Roman"/>
        </w:rPr>
        <w:t xml:space="preserve"> </w:t>
      </w:r>
      <w:r>
        <w:rPr>
          <w:rFonts w:ascii="Times New Roman" w:hAnsi="Times New Roman"/>
        </w:rPr>
        <w:t xml:space="preserve">completed </w:t>
      </w:r>
      <w:r w:rsidRPr="000143A2">
        <w:rPr>
          <w:rFonts w:ascii="Times New Roman" w:hAnsi="Times New Roman"/>
        </w:rPr>
        <w:t xml:space="preserve">by the Stockholm Convention </w:t>
      </w:r>
      <w:r>
        <w:rPr>
          <w:rFonts w:ascii="Times New Roman" w:hAnsi="Times New Roman"/>
        </w:rPr>
        <w:t xml:space="preserve">POPs review </w:t>
      </w:r>
      <w:r w:rsidRPr="000143A2">
        <w:rPr>
          <w:rFonts w:ascii="Times New Roman" w:hAnsi="Times New Roman"/>
        </w:rPr>
        <w:t xml:space="preserve">committee and </w:t>
      </w:r>
      <w:r>
        <w:rPr>
          <w:rFonts w:ascii="Times New Roman" w:hAnsi="Times New Roman"/>
        </w:rPr>
        <w:t xml:space="preserve">recent </w:t>
      </w:r>
      <w:r w:rsidRPr="000143A2">
        <w:rPr>
          <w:rFonts w:ascii="Times New Roman" w:hAnsi="Times New Roman"/>
        </w:rPr>
        <w:t>monitoring of consumer products on the Canadian market.</w:t>
      </w:r>
    </w:p>
    <w:p w:rsidR="003A15C1" w:rsidRPr="000143A2" w:rsidRDefault="003A15C1" w:rsidP="00547354">
      <w:pPr>
        <w:spacing w:after="0" w:line="240" w:lineRule="auto"/>
        <w:rPr>
          <w:rFonts w:ascii="Times New Roman" w:hAnsi="Times New Roman"/>
        </w:rPr>
      </w:pPr>
    </w:p>
    <w:p w:rsidR="003A15C1" w:rsidRPr="000143A2" w:rsidRDefault="003A15C1" w:rsidP="00547354">
      <w:pPr>
        <w:spacing w:after="0" w:line="240" w:lineRule="auto"/>
        <w:rPr>
          <w:rFonts w:ascii="Times New Roman" w:hAnsi="Times New Roman"/>
          <w:lang w:val="en-US" w:eastAsia="ko-KR"/>
        </w:rPr>
      </w:pPr>
      <w:r w:rsidRPr="000143A2">
        <w:rPr>
          <w:rFonts w:ascii="Times New Roman" w:hAnsi="Times New Roman"/>
        </w:rPr>
        <w:t xml:space="preserve">As you know, the recycling exemption for materials containing these four flame retardant substances was part of the </w:t>
      </w:r>
      <w:hyperlink r:id="rId12" w:history="1">
        <w:r w:rsidRPr="000143A2">
          <w:rPr>
            <w:rStyle w:val="Hyperlink"/>
            <w:rFonts w:ascii="Times New Roman" w:hAnsi="Times New Roman"/>
          </w:rPr>
          <w:t>listing</w:t>
        </w:r>
      </w:hyperlink>
      <w:r w:rsidRPr="000143A2">
        <w:rPr>
          <w:rFonts w:ascii="Times New Roman" w:hAnsi="Times New Roman"/>
        </w:rPr>
        <w:t xml:space="preserve"> </w:t>
      </w:r>
      <w:hyperlink r:id="rId13" w:history="1">
        <w:r w:rsidRPr="000143A2">
          <w:rPr>
            <w:rStyle w:val="Hyperlink"/>
            <w:rFonts w:ascii="Times New Roman" w:hAnsi="Times New Roman"/>
          </w:rPr>
          <w:t>decisions</w:t>
        </w:r>
      </w:hyperlink>
      <w:r w:rsidRPr="000143A2">
        <w:rPr>
          <w:rFonts w:ascii="Times New Roman" w:hAnsi="Times New Roman"/>
        </w:rPr>
        <w:t xml:space="preserve"> at the </w:t>
      </w:r>
      <w:r w:rsidRPr="000143A2">
        <w:rPr>
          <w:rFonts w:ascii="Times New Roman" w:hAnsi="Times New Roman"/>
          <w:lang w:val="en-US"/>
        </w:rPr>
        <w:t>4</w:t>
      </w:r>
      <w:r w:rsidRPr="000143A2">
        <w:rPr>
          <w:rFonts w:ascii="Times New Roman" w:hAnsi="Times New Roman"/>
          <w:vertAlign w:val="superscript"/>
          <w:lang w:val="en-US" w:eastAsia="ko-KR"/>
        </w:rPr>
        <w:t>th</w:t>
      </w:r>
      <w:r w:rsidRPr="000143A2">
        <w:rPr>
          <w:rFonts w:ascii="Times New Roman" w:hAnsi="Times New Roman"/>
          <w:lang w:val="en-US" w:eastAsia="ko-KR"/>
        </w:rPr>
        <w:t xml:space="preserve"> Conference of the Parties</w:t>
      </w:r>
      <w:r>
        <w:rPr>
          <w:rFonts w:ascii="Times New Roman" w:hAnsi="Times New Roman"/>
          <w:lang w:val="en-US" w:eastAsia="ko-KR"/>
        </w:rPr>
        <w:t xml:space="preserve">(COP) </w:t>
      </w:r>
      <w:r w:rsidRPr="000143A2">
        <w:rPr>
          <w:rFonts w:ascii="Times New Roman" w:hAnsi="Times New Roman"/>
          <w:lang w:val="en-US" w:eastAsia="ko-KR"/>
        </w:rPr>
        <w:t xml:space="preserve"> </w:t>
      </w:r>
      <w:r>
        <w:rPr>
          <w:rFonts w:ascii="Times New Roman" w:hAnsi="Times New Roman"/>
          <w:lang w:val="en-US" w:eastAsia="ko-KR"/>
        </w:rPr>
        <w:t xml:space="preserve">in 2009 </w:t>
      </w:r>
      <w:r w:rsidRPr="000143A2">
        <w:rPr>
          <w:rFonts w:ascii="Times New Roman" w:hAnsi="Times New Roman"/>
          <w:lang w:val="en-US" w:eastAsia="ko-KR"/>
        </w:rPr>
        <w:t>and allows the practice to continue until 2030. However, Parties at the C</w:t>
      </w:r>
      <w:r>
        <w:rPr>
          <w:rFonts w:ascii="Times New Roman" w:hAnsi="Times New Roman"/>
          <w:lang w:val="en-US" w:eastAsia="ko-KR"/>
        </w:rPr>
        <w:t>OP</w:t>
      </w:r>
      <w:r w:rsidRPr="000143A2">
        <w:rPr>
          <w:rFonts w:ascii="Times New Roman" w:hAnsi="Times New Roman"/>
          <w:lang w:val="en-US" w:eastAsia="ko-KR"/>
        </w:rPr>
        <w:t xml:space="preserve"> also tasked the treaty’s expert committee to evaluate the recycling practice and provide recommendations. </w:t>
      </w:r>
    </w:p>
    <w:p w:rsidR="003A15C1" w:rsidRPr="000143A2" w:rsidRDefault="003A15C1" w:rsidP="00547354">
      <w:pPr>
        <w:spacing w:after="0" w:line="240" w:lineRule="auto"/>
        <w:rPr>
          <w:rFonts w:ascii="Times New Roman" w:hAnsi="Times New Roman"/>
          <w:lang w:val="en-US" w:eastAsia="ko-KR"/>
        </w:rPr>
      </w:pPr>
    </w:p>
    <w:p w:rsidR="003A15C1" w:rsidRPr="000143A2" w:rsidRDefault="003A15C1" w:rsidP="00442D9D">
      <w:pPr>
        <w:spacing w:after="0" w:line="240" w:lineRule="auto"/>
        <w:rPr>
          <w:rFonts w:ascii="Times New Roman" w:hAnsi="Times New Roman"/>
          <w:i/>
          <w:lang w:val="en-US" w:eastAsia="ko-KR"/>
        </w:rPr>
      </w:pPr>
      <w:r w:rsidRPr="000143A2">
        <w:rPr>
          <w:rFonts w:ascii="Times New Roman" w:hAnsi="Times New Roman"/>
          <w:lang w:val="en-US" w:eastAsia="ko-KR"/>
        </w:rPr>
        <w:t xml:space="preserve">The expert committee’s findings are described in Decision POPRC-6/2 contained in the </w:t>
      </w:r>
      <w:hyperlink r:id="rId14" w:history="1">
        <w:r w:rsidRPr="000143A2">
          <w:rPr>
            <w:rStyle w:val="Hyperlink"/>
            <w:rFonts w:ascii="Times New Roman" w:hAnsi="Times New Roman"/>
            <w:lang w:val="en-US" w:eastAsia="ko-KR"/>
          </w:rPr>
          <w:t>meeting report</w:t>
        </w:r>
      </w:hyperlink>
      <w:r w:rsidRPr="000143A2">
        <w:rPr>
          <w:rFonts w:ascii="Times New Roman" w:hAnsi="Times New Roman"/>
          <w:lang w:val="en-US" w:eastAsia="ko-KR"/>
        </w:rPr>
        <w:t xml:space="preserve">. Key recommendations included taking action to </w:t>
      </w:r>
      <w:r w:rsidRPr="000143A2">
        <w:rPr>
          <w:rFonts w:ascii="Times New Roman" w:hAnsi="Times New Roman"/>
          <w:i/>
          <w:lang w:val="en-US" w:eastAsia="ko-KR"/>
        </w:rPr>
        <w:t>“…eliminate brominated diphenyl ethers [BDEs] from the recycling streams as swiftly as possible.”</w:t>
      </w:r>
      <w:r w:rsidRPr="000143A2">
        <w:rPr>
          <w:rFonts w:ascii="Times New Roman" w:hAnsi="Times New Roman"/>
          <w:lang w:val="en-US" w:eastAsia="ko-KR"/>
        </w:rPr>
        <w:t xml:space="preserve">  The Committee noted that, </w:t>
      </w:r>
      <w:r w:rsidRPr="000143A2">
        <w:rPr>
          <w:rFonts w:ascii="Times New Roman" w:hAnsi="Times New Roman"/>
          <w:i/>
          <w:lang w:val="en-US" w:eastAsia="ko-KR"/>
        </w:rPr>
        <w:t>“Failure to do so will inevitably result in wider human and environmental contamination and the dispersal of brominated diphenyl ethers into matrices from which recovery is not technically or economically feasible and in the loss of the long-term credibility of recycling.”</w:t>
      </w:r>
      <w:r w:rsidRPr="000143A2">
        <w:rPr>
          <w:rFonts w:ascii="Times New Roman" w:hAnsi="Times New Roman"/>
          <w:lang w:val="en-US" w:eastAsia="ko-KR"/>
        </w:rPr>
        <w:t xml:space="preserve"> Subsequent testing of consumer products has demonstrated that these concerns are valid.</w:t>
      </w:r>
    </w:p>
    <w:p w:rsidR="003A15C1" w:rsidRPr="000143A2" w:rsidRDefault="003A15C1" w:rsidP="00442D9D">
      <w:pPr>
        <w:spacing w:after="0" w:line="240" w:lineRule="auto"/>
        <w:rPr>
          <w:rFonts w:ascii="Times New Roman" w:hAnsi="Times New Roman"/>
          <w:lang w:val="en-US" w:eastAsia="ko-KR"/>
        </w:rPr>
      </w:pPr>
    </w:p>
    <w:p w:rsidR="003A15C1" w:rsidRPr="000143A2" w:rsidRDefault="003A15C1" w:rsidP="00442D9D">
      <w:pPr>
        <w:spacing w:after="0" w:line="240" w:lineRule="auto"/>
        <w:rPr>
          <w:rFonts w:ascii="Times New Roman" w:hAnsi="Times New Roman"/>
          <w:lang w:val="en-US" w:eastAsia="ko-KR"/>
        </w:rPr>
      </w:pPr>
      <w:r>
        <w:rPr>
          <w:rFonts w:ascii="Times New Roman" w:hAnsi="Times New Roman"/>
          <w:lang w:val="en-US" w:eastAsia="ko-KR"/>
        </w:rPr>
        <w:t xml:space="preserve">Recent efforts by members of the International POPS Elimination Network </w:t>
      </w:r>
      <w:r w:rsidRPr="000143A2">
        <w:rPr>
          <w:rFonts w:ascii="Times New Roman" w:hAnsi="Times New Roman"/>
          <w:lang w:val="en-US" w:eastAsia="ko-KR"/>
        </w:rPr>
        <w:t xml:space="preserve">tested consumer products made of recycled plastic </w:t>
      </w:r>
      <w:r>
        <w:rPr>
          <w:rFonts w:ascii="Times New Roman" w:hAnsi="Times New Roman"/>
          <w:lang w:val="en-US" w:eastAsia="ko-KR"/>
        </w:rPr>
        <w:t xml:space="preserve">which also included products found in </w:t>
      </w:r>
      <w:r w:rsidRPr="000143A2">
        <w:rPr>
          <w:rFonts w:ascii="Times New Roman" w:hAnsi="Times New Roman"/>
          <w:lang w:val="en-US" w:eastAsia="ko-KR"/>
        </w:rPr>
        <w:t>the Canadian market in 2019</w:t>
      </w:r>
      <w:r>
        <w:rPr>
          <w:rFonts w:ascii="Times New Roman" w:hAnsi="Times New Roman"/>
          <w:lang w:val="en-US" w:eastAsia="ko-KR"/>
        </w:rPr>
        <w:t xml:space="preserve">. The results showed that </w:t>
      </w:r>
      <w:r w:rsidRPr="000143A2">
        <w:rPr>
          <w:rFonts w:ascii="Times New Roman" w:hAnsi="Times New Roman"/>
          <w:lang w:val="en-US" w:eastAsia="ko-KR"/>
        </w:rPr>
        <w:t xml:space="preserve"> these toxic chemicals along with another toxic flame retardant chemical</w:t>
      </w:r>
      <w:r>
        <w:rPr>
          <w:rFonts w:ascii="Times New Roman" w:hAnsi="Times New Roman"/>
          <w:lang w:val="en-US" w:eastAsia="ko-KR"/>
        </w:rPr>
        <w:t>s</w:t>
      </w:r>
      <w:r w:rsidRPr="000143A2">
        <w:rPr>
          <w:rFonts w:ascii="Times New Roman" w:hAnsi="Times New Roman"/>
          <w:lang w:val="en-US" w:eastAsia="ko-KR"/>
        </w:rPr>
        <w:t xml:space="preserve"> are making their way into products, exactly as the Stockholm Convention expert committee predicted in 2010.</w:t>
      </w:r>
    </w:p>
    <w:p w:rsidR="003A15C1" w:rsidRPr="00D30299" w:rsidRDefault="003A15C1" w:rsidP="00442D9D">
      <w:pPr>
        <w:spacing w:after="0" w:line="240" w:lineRule="auto"/>
        <w:rPr>
          <w:rFonts w:ascii="Times New Roman" w:hAnsi="Times New Roman"/>
          <w:b/>
          <w:lang w:val="en-US"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7"/>
        <w:gridCol w:w="2278"/>
        <w:gridCol w:w="2160"/>
      </w:tblGrid>
      <w:tr w:rsidR="003A15C1" w:rsidRPr="001B1F07">
        <w:trPr>
          <w:jc w:val="center"/>
        </w:trPr>
        <w:tc>
          <w:tcPr>
            <w:tcW w:w="1857" w:type="dxa"/>
          </w:tcPr>
          <w:p w:rsidR="003A15C1" w:rsidRPr="00D30299" w:rsidRDefault="003A15C1" w:rsidP="008D2429">
            <w:pPr>
              <w:spacing w:after="0" w:line="240" w:lineRule="auto"/>
              <w:rPr>
                <w:rFonts w:ascii="Times New Roman" w:hAnsi="Times New Roman"/>
                <w:b/>
                <w:lang w:val="en-GB"/>
              </w:rPr>
            </w:pPr>
            <w:r w:rsidRPr="00D30299">
              <w:rPr>
                <w:rFonts w:ascii="Times New Roman" w:hAnsi="Times New Roman"/>
                <w:b/>
                <w:lang w:val="en-GB"/>
              </w:rPr>
              <w:t>Product</w:t>
            </w:r>
          </w:p>
        </w:tc>
        <w:tc>
          <w:tcPr>
            <w:tcW w:w="2278" w:type="dxa"/>
            <w:vAlign w:val="center"/>
          </w:tcPr>
          <w:p w:rsidR="003A15C1" w:rsidRPr="00D30299" w:rsidRDefault="003A15C1" w:rsidP="008D2429">
            <w:pPr>
              <w:spacing w:after="0" w:line="240" w:lineRule="auto"/>
              <w:jc w:val="center"/>
              <w:rPr>
                <w:rFonts w:ascii="Times New Roman" w:hAnsi="Times New Roman"/>
                <w:b/>
              </w:rPr>
            </w:pPr>
            <w:r w:rsidRPr="00D30299">
              <w:rPr>
                <w:rFonts w:ascii="Times New Roman" w:hAnsi="Times New Roman"/>
                <w:b/>
              </w:rPr>
              <w:t>Commercial OctaBDE (HexaBDE + HeptaBDE)</w:t>
            </w:r>
          </w:p>
          <w:p w:rsidR="003A15C1" w:rsidRPr="00D30299" w:rsidRDefault="003A15C1" w:rsidP="008D2429">
            <w:pPr>
              <w:spacing w:after="0" w:line="240" w:lineRule="auto"/>
              <w:jc w:val="center"/>
              <w:rPr>
                <w:rFonts w:ascii="Times New Roman" w:hAnsi="Times New Roman"/>
                <w:b/>
              </w:rPr>
            </w:pPr>
            <w:r w:rsidRPr="00D30299">
              <w:rPr>
                <w:rFonts w:ascii="Times New Roman" w:hAnsi="Times New Roman"/>
                <w:b/>
              </w:rPr>
              <w:t>(ppm)</w:t>
            </w:r>
          </w:p>
        </w:tc>
        <w:tc>
          <w:tcPr>
            <w:tcW w:w="2160" w:type="dxa"/>
            <w:vAlign w:val="bottom"/>
          </w:tcPr>
          <w:p w:rsidR="003A15C1" w:rsidRPr="00D30299" w:rsidRDefault="003A15C1" w:rsidP="008D2429">
            <w:pPr>
              <w:spacing w:after="0" w:line="240" w:lineRule="auto"/>
              <w:jc w:val="center"/>
              <w:rPr>
                <w:rFonts w:ascii="Times New Roman" w:hAnsi="Times New Roman"/>
                <w:b/>
              </w:rPr>
            </w:pPr>
            <w:r w:rsidRPr="00D30299">
              <w:rPr>
                <w:rFonts w:ascii="Times New Roman" w:hAnsi="Times New Roman"/>
                <w:b/>
              </w:rPr>
              <w:t>DecaBDE</w:t>
            </w:r>
            <w:r w:rsidRPr="00D30299">
              <w:rPr>
                <w:rFonts w:ascii="Times New Roman" w:hAnsi="Times New Roman"/>
                <w:b/>
                <w:vertAlign w:val="superscript"/>
              </w:rPr>
              <w:t>1</w:t>
            </w:r>
          </w:p>
          <w:p w:rsidR="003A15C1" w:rsidRPr="00D30299" w:rsidRDefault="003A15C1" w:rsidP="008D2429">
            <w:pPr>
              <w:spacing w:after="0" w:line="240" w:lineRule="auto"/>
              <w:jc w:val="center"/>
              <w:rPr>
                <w:rFonts w:ascii="Times New Roman" w:hAnsi="Times New Roman"/>
                <w:b/>
              </w:rPr>
            </w:pPr>
            <w:r w:rsidRPr="00D30299">
              <w:rPr>
                <w:rFonts w:ascii="Times New Roman" w:hAnsi="Times New Roman"/>
                <w:b/>
              </w:rPr>
              <w:t>(ppm)</w:t>
            </w:r>
          </w:p>
        </w:tc>
      </w:tr>
      <w:tr w:rsidR="003A15C1" w:rsidRPr="001B1F07">
        <w:trPr>
          <w:jc w:val="center"/>
        </w:trPr>
        <w:tc>
          <w:tcPr>
            <w:tcW w:w="1857" w:type="dxa"/>
          </w:tcPr>
          <w:p w:rsidR="003A15C1" w:rsidRPr="00D30299" w:rsidRDefault="003A15C1" w:rsidP="008D2429">
            <w:pPr>
              <w:spacing w:after="0" w:line="240" w:lineRule="auto"/>
              <w:rPr>
                <w:rFonts w:ascii="Times New Roman" w:hAnsi="Times New Roman"/>
                <w:b/>
                <w:lang w:val="en-GB"/>
              </w:rPr>
            </w:pPr>
            <w:r w:rsidRPr="00D30299">
              <w:rPr>
                <w:rFonts w:ascii="Times New Roman" w:hAnsi="Times New Roman"/>
                <w:b/>
                <w:lang w:val="en-GB"/>
              </w:rPr>
              <w:t>Pocket calculator</w:t>
            </w:r>
          </w:p>
        </w:tc>
        <w:tc>
          <w:tcPr>
            <w:tcW w:w="2278" w:type="dxa"/>
            <w:vAlign w:val="center"/>
          </w:tcPr>
          <w:p w:rsidR="003A15C1" w:rsidRPr="00D30299" w:rsidRDefault="003A15C1" w:rsidP="008D2429">
            <w:pPr>
              <w:spacing w:after="0" w:line="240" w:lineRule="auto"/>
              <w:jc w:val="center"/>
              <w:rPr>
                <w:rFonts w:ascii="Times New Roman" w:hAnsi="Times New Roman"/>
                <w:b/>
              </w:rPr>
            </w:pPr>
            <w:r w:rsidRPr="00D30299">
              <w:rPr>
                <w:rFonts w:ascii="Times New Roman" w:hAnsi="Times New Roman"/>
                <w:b/>
              </w:rPr>
              <w:t>41</w:t>
            </w:r>
          </w:p>
        </w:tc>
        <w:tc>
          <w:tcPr>
            <w:tcW w:w="2160" w:type="dxa"/>
            <w:vAlign w:val="center"/>
          </w:tcPr>
          <w:p w:rsidR="003A15C1" w:rsidRPr="00D30299" w:rsidRDefault="003A15C1" w:rsidP="008D2429">
            <w:pPr>
              <w:spacing w:after="0" w:line="240" w:lineRule="auto"/>
              <w:jc w:val="center"/>
              <w:rPr>
                <w:rFonts w:ascii="Times New Roman" w:hAnsi="Times New Roman"/>
                <w:b/>
              </w:rPr>
            </w:pPr>
            <w:r w:rsidRPr="00D30299">
              <w:rPr>
                <w:rFonts w:ascii="Times New Roman" w:hAnsi="Times New Roman"/>
                <w:b/>
              </w:rPr>
              <w:t>452</w:t>
            </w:r>
          </w:p>
        </w:tc>
      </w:tr>
      <w:tr w:rsidR="003A15C1" w:rsidRPr="001B1F07">
        <w:trPr>
          <w:jc w:val="center"/>
        </w:trPr>
        <w:tc>
          <w:tcPr>
            <w:tcW w:w="1857" w:type="dxa"/>
          </w:tcPr>
          <w:p w:rsidR="003A15C1" w:rsidRPr="00D30299" w:rsidRDefault="003A15C1" w:rsidP="008D2429">
            <w:pPr>
              <w:spacing w:after="0" w:line="240" w:lineRule="auto"/>
              <w:rPr>
                <w:rFonts w:ascii="Times New Roman" w:hAnsi="Times New Roman"/>
                <w:b/>
                <w:lang w:val="en-GB"/>
              </w:rPr>
            </w:pPr>
            <w:r w:rsidRPr="00D30299">
              <w:rPr>
                <w:rFonts w:ascii="Times New Roman" w:hAnsi="Times New Roman"/>
                <w:b/>
                <w:lang w:val="en-GB"/>
              </w:rPr>
              <w:t>Hair rack</w:t>
            </w:r>
          </w:p>
        </w:tc>
        <w:tc>
          <w:tcPr>
            <w:tcW w:w="2278" w:type="dxa"/>
            <w:vAlign w:val="center"/>
          </w:tcPr>
          <w:p w:rsidR="003A15C1" w:rsidRPr="00D30299" w:rsidRDefault="003A15C1" w:rsidP="008D2429">
            <w:pPr>
              <w:spacing w:after="0" w:line="240" w:lineRule="auto"/>
              <w:jc w:val="center"/>
              <w:rPr>
                <w:rFonts w:ascii="Times New Roman" w:hAnsi="Times New Roman"/>
                <w:b/>
              </w:rPr>
            </w:pPr>
            <w:r w:rsidRPr="00D30299">
              <w:rPr>
                <w:rFonts w:ascii="Times New Roman" w:hAnsi="Times New Roman"/>
                <w:b/>
              </w:rPr>
              <w:t>26</w:t>
            </w:r>
          </w:p>
        </w:tc>
        <w:tc>
          <w:tcPr>
            <w:tcW w:w="2160" w:type="dxa"/>
            <w:vAlign w:val="center"/>
          </w:tcPr>
          <w:p w:rsidR="003A15C1" w:rsidRPr="00D30299" w:rsidRDefault="003A15C1" w:rsidP="008D2429">
            <w:pPr>
              <w:spacing w:after="0" w:line="240" w:lineRule="auto"/>
              <w:jc w:val="center"/>
              <w:rPr>
                <w:rFonts w:ascii="Times New Roman" w:hAnsi="Times New Roman"/>
                <w:b/>
              </w:rPr>
            </w:pPr>
            <w:r w:rsidRPr="00D30299">
              <w:rPr>
                <w:rFonts w:ascii="Times New Roman" w:hAnsi="Times New Roman"/>
                <w:b/>
              </w:rPr>
              <w:t>332</w:t>
            </w:r>
          </w:p>
        </w:tc>
      </w:tr>
      <w:tr w:rsidR="003A15C1" w:rsidRPr="001B1F07">
        <w:trPr>
          <w:jc w:val="center"/>
        </w:trPr>
        <w:tc>
          <w:tcPr>
            <w:tcW w:w="1857" w:type="dxa"/>
          </w:tcPr>
          <w:p w:rsidR="003A15C1" w:rsidRPr="00D30299" w:rsidRDefault="003A15C1" w:rsidP="008D2429">
            <w:pPr>
              <w:spacing w:after="0" w:line="240" w:lineRule="auto"/>
              <w:rPr>
                <w:rFonts w:ascii="Times New Roman" w:hAnsi="Times New Roman"/>
                <w:b/>
                <w:lang w:val="en-GB"/>
              </w:rPr>
            </w:pPr>
            <w:r w:rsidRPr="00D30299">
              <w:rPr>
                <w:rFonts w:ascii="Times New Roman" w:hAnsi="Times New Roman"/>
                <w:b/>
                <w:lang w:val="en-GB"/>
              </w:rPr>
              <w:t>Hair comb</w:t>
            </w:r>
          </w:p>
        </w:tc>
        <w:tc>
          <w:tcPr>
            <w:tcW w:w="2278" w:type="dxa"/>
            <w:vAlign w:val="center"/>
          </w:tcPr>
          <w:p w:rsidR="003A15C1" w:rsidRPr="00D30299" w:rsidRDefault="003A15C1" w:rsidP="008D2429">
            <w:pPr>
              <w:spacing w:after="0" w:line="240" w:lineRule="auto"/>
              <w:jc w:val="center"/>
              <w:rPr>
                <w:rFonts w:ascii="Times New Roman" w:hAnsi="Times New Roman"/>
                <w:b/>
              </w:rPr>
            </w:pPr>
            <w:r w:rsidRPr="00D30299">
              <w:rPr>
                <w:rFonts w:ascii="Times New Roman" w:hAnsi="Times New Roman"/>
                <w:b/>
              </w:rPr>
              <w:t>18</w:t>
            </w:r>
          </w:p>
        </w:tc>
        <w:tc>
          <w:tcPr>
            <w:tcW w:w="2160" w:type="dxa"/>
            <w:vAlign w:val="center"/>
          </w:tcPr>
          <w:p w:rsidR="003A15C1" w:rsidRPr="00D30299" w:rsidRDefault="003A15C1" w:rsidP="008D2429">
            <w:pPr>
              <w:spacing w:after="0" w:line="240" w:lineRule="auto"/>
              <w:jc w:val="center"/>
              <w:rPr>
                <w:rFonts w:ascii="Times New Roman" w:hAnsi="Times New Roman"/>
                <w:b/>
              </w:rPr>
            </w:pPr>
            <w:r w:rsidRPr="00D30299">
              <w:rPr>
                <w:rFonts w:ascii="Times New Roman" w:hAnsi="Times New Roman"/>
                <w:b/>
              </w:rPr>
              <w:t>124</w:t>
            </w:r>
          </w:p>
        </w:tc>
      </w:tr>
      <w:tr w:rsidR="003A15C1" w:rsidRPr="001B1F07">
        <w:trPr>
          <w:jc w:val="center"/>
        </w:trPr>
        <w:tc>
          <w:tcPr>
            <w:tcW w:w="1857" w:type="dxa"/>
          </w:tcPr>
          <w:p w:rsidR="003A15C1" w:rsidRPr="00D30299" w:rsidRDefault="003A15C1" w:rsidP="008D2429">
            <w:pPr>
              <w:spacing w:after="0" w:line="240" w:lineRule="auto"/>
              <w:rPr>
                <w:rFonts w:ascii="Times New Roman" w:hAnsi="Times New Roman"/>
                <w:b/>
                <w:lang w:val="en-GB"/>
              </w:rPr>
            </w:pPr>
            <w:r w:rsidRPr="00D30299">
              <w:rPr>
                <w:rFonts w:ascii="Times New Roman" w:hAnsi="Times New Roman"/>
                <w:b/>
                <w:lang w:val="en-GB"/>
              </w:rPr>
              <w:t>Toy car</w:t>
            </w:r>
          </w:p>
        </w:tc>
        <w:tc>
          <w:tcPr>
            <w:tcW w:w="2278" w:type="dxa"/>
            <w:vAlign w:val="center"/>
          </w:tcPr>
          <w:p w:rsidR="003A15C1" w:rsidRPr="00D30299" w:rsidRDefault="003A15C1" w:rsidP="008D2429">
            <w:pPr>
              <w:spacing w:after="0" w:line="240" w:lineRule="auto"/>
              <w:jc w:val="center"/>
              <w:rPr>
                <w:rFonts w:ascii="Times New Roman" w:hAnsi="Times New Roman"/>
                <w:b/>
              </w:rPr>
            </w:pPr>
            <w:r w:rsidRPr="00D30299">
              <w:rPr>
                <w:rFonts w:ascii="Times New Roman" w:hAnsi="Times New Roman"/>
                <w:b/>
              </w:rPr>
              <w:t>17</w:t>
            </w:r>
          </w:p>
        </w:tc>
        <w:tc>
          <w:tcPr>
            <w:tcW w:w="2160" w:type="dxa"/>
            <w:vAlign w:val="center"/>
          </w:tcPr>
          <w:p w:rsidR="003A15C1" w:rsidRPr="00D30299" w:rsidRDefault="003A15C1" w:rsidP="008D2429">
            <w:pPr>
              <w:spacing w:after="0" w:line="240" w:lineRule="auto"/>
              <w:jc w:val="center"/>
              <w:rPr>
                <w:rFonts w:ascii="Times New Roman" w:hAnsi="Times New Roman"/>
                <w:b/>
              </w:rPr>
            </w:pPr>
            <w:r w:rsidRPr="00D30299">
              <w:rPr>
                <w:rFonts w:ascii="Times New Roman" w:hAnsi="Times New Roman"/>
                <w:b/>
              </w:rPr>
              <w:t>36</w:t>
            </w:r>
          </w:p>
        </w:tc>
      </w:tr>
      <w:tr w:rsidR="003A15C1" w:rsidRPr="001B1F07">
        <w:trPr>
          <w:jc w:val="center"/>
        </w:trPr>
        <w:tc>
          <w:tcPr>
            <w:tcW w:w="1857" w:type="dxa"/>
          </w:tcPr>
          <w:p w:rsidR="003A15C1" w:rsidRPr="00D30299" w:rsidRDefault="003A15C1" w:rsidP="008D2429">
            <w:pPr>
              <w:spacing w:after="0" w:line="240" w:lineRule="auto"/>
              <w:rPr>
                <w:rFonts w:ascii="Times New Roman" w:hAnsi="Times New Roman"/>
                <w:b/>
                <w:lang w:val="en-GB"/>
              </w:rPr>
            </w:pPr>
            <w:r w:rsidRPr="00D30299">
              <w:rPr>
                <w:rFonts w:ascii="Times New Roman" w:hAnsi="Times New Roman"/>
                <w:b/>
                <w:lang w:val="en-GB"/>
              </w:rPr>
              <w:t>Hair rack</w:t>
            </w:r>
          </w:p>
        </w:tc>
        <w:tc>
          <w:tcPr>
            <w:tcW w:w="2278" w:type="dxa"/>
            <w:vAlign w:val="center"/>
          </w:tcPr>
          <w:p w:rsidR="003A15C1" w:rsidRPr="00D30299" w:rsidRDefault="003A15C1" w:rsidP="008D2429">
            <w:pPr>
              <w:spacing w:after="0" w:line="240" w:lineRule="auto"/>
              <w:jc w:val="center"/>
              <w:rPr>
                <w:rFonts w:ascii="Times New Roman" w:hAnsi="Times New Roman"/>
                <w:b/>
              </w:rPr>
            </w:pPr>
            <w:r w:rsidRPr="00D30299">
              <w:rPr>
                <w:rFonts w:ascii="Times New Roman" w:hAnsi="Times New Roman"/>
                <w:b/>
              </w:rPr>
              <w:t>11</w:t>
            </w:r>
          </w:p>
        </w:tc>
        <w:tc>
          <w:tcPr>
            <w:tcW w:w="2160" w:type="dxa"/>
            <w:vAlign w:val="center"/>
          </w:tcPr>
          <w:p w:rsidR="003A15C1" w:rsidRPr="00D30299" w:rsidRDefault="003A15C1" w:rsidP="008D2429">
            <w:pPr>
              <w:spacing w:after="0" w:line="240" w:lineRule="auto"/>
              <w:jc w:val="center"/>
              <w:rPr>
                <w:rFonts w:ascii="Times New Roman" w:hAnsi="Times New Roman"/>
                <w:b/>
              </w:rPr>
            </w:pPr>
            <w:r w:rsidRPr="00D30299">
              <w:rPr>
                <w:rFonts w:ascii="Times New Roman" w:hAnsi="Times New Roman"/>
                <w:b/>
              </w:rPr>
              <w:t>147</w:t>
            </w:r>
          </w:p>
        </w:tc>
      </w:tr>
    </w:tbl>
    <w:p w:rsidR="003A15C1" w:rsidRDefault="003A15C1" w:rsidP="00442D9D">
      <w:pPr>
        <w:spacing w:after="0" w:line="240" w:lineRule="auto"/>
        <w:rPr>
          <w:rFonts w:ascii="Times New Roman" w:hAnsi="Times New Roman"/>
          <w:lang w:val="en-US" w:eastAsia="ko-KR"/>
        </w:rPr>
      </w:pPr>
      <w:r w:rsidRPr="000143A2">
        <w:rPr>
          <w:rFonts w:ascii="Times New Roman" w:hAnsi="Times New Roman"/>
          <w:lang w:val="en-US" w:eastAsia="ko-KR"/>
        </w:rPr>
        <w:tab/>
      </w:r>
      <w:r w:rsidRPr="000143A2">
        <w:rPr>
          <w:rFonts w:ascii="Times New Roman" w:hAnsi="Times New Roman"/>
          <w:lang w:val="en-US" w:eastAsia="ko-KR"/>
        </w:rPr>
        <w:tab/>
      </w:r>
      <w:r w:rsidRPr="000143A2">
        <w:rPr>
          <w:rFonts w:ascii="Times New Roman" w:hAnsi="Times New Roman"/>
          <w:vertAlign w:val="superscript"/>
          <w:lang w:val="en-US" w:eastAsia="ko-KR"/>
        </w:rPr>
        <w:t>1</w:t>
      </w:r>
      <w:r w:rsidRPr="000143A2">
        <w:rPr>
          <w:rFonts w:ascii="Times New Roman" w:hAnsi="Times New Roman"/>
          <w:lang w:val="en-US" w:eastAsia="ko-KR"/>
        </w:rPr>
        <w:t xml:space="preserve">DecaBDE was </w:t>
      </w:r>
      <w:hyperlink r:id="rId15" w:history="1">
        <w:r w:rsidRPr="000143A2">
          <w:rPr>
            <w:rStyle w:val="Hyperlink"/>
            <w:rFonts w:ascii="Times New Roman" w:hAnsi="Times New Roman"/>
            <w:lang w:val="en-US" w:eastAsia="ko-KR"/>
          </w:rPr>
          <w:t>listed in the Stockholm Convention</w:t>
        </w:r>
      </w:hyperlink>
      <w:r w:rsidRPr="000143A2">
        <w:rPr>
          <w:rFonts w:ascii="Times New Roman" w:hAnsi="Times New Roman"/>
          <w:lang w:val="en-US" w:eastAsia="ko-KR"/>
        </w:rPr>
        <w:t xml:space="preserve"> for global elimination in 2017</w:t>
      </w:r>
    </w:p>
    <w:p w:rsidR="003A15C1" w:rsidRDefault="003A15C1" w:rsidP="00442D9D">
      <w:pPr>
        <w:spacing w:after="0" w:line="240" w:lineRule="auto"/>
        <w:rPr>
          <w:rFonts w:ascii="Times New Roman" w:hAnsi="Times New Roman"/>
          <w:lang w:val="en-US" w:eastAsia="ko-KR"/>
        </w:rPr>
      </w:pPr>
    </w:p>
    <w:p w:rsidR="003A15C1" w:rsidRPr="000143A2" w:rsidRDefault="003A15C1" w:rsidP="00442D9D">
      <w:pPr>
        <w:spacing w:after="0" w:line="240" w:lineRule="auto"/>
        <w:rPr>
          <w:rFonts w:ascii="Times New Roman" w:hAnsi="Times New Roman"/>
          <w:lang w:val="en-US" w:eastAsia="ko-KR"/>
        </w:rPr>
      </w:pPr>
      <w:r w:rsidRPr="000143A2">
        <w:rPr>
          <w:rFonts w:ascii="Times New Roman" w:hAnsi="Times New Roman"/>
          <w:lang w:val="en-US" w:eastAsia="ko-KR"/>
        </w:rPr>
        <w:t>Methods are described in Annex 1.</w:t>
      </w:r>
    </w:p>
    <w:p w:rsidR="003A15C1" w:rsidRPr="000143A2" w:rsidRDefault="003A15C1" w:rsidP="00442D9D">
      <w:pPr>
        <w:spacing w:after="0" w:line="240" w:lineRule="auto"/>
        <w:rPr>
          <w:rFonts w:ascii="Times New Roman" w:hAnsi="Times New Roman"/>
          <w:lang w:val="en-CA" w:eastAsia="ko-KR"/>
        </w:rPr>
      </w:pPr>
    </w:p>
    <w:p w:rsidR="003A15C1" w:rsidRPr="000143A2" w:rsidRDefault="003A15C1" w:rsidP="00442D9D">
      <w:pPr>
        <w:spacing w:after="0" w:line="240" w:lineRule="auto"/>
        <w:rPr>
          <w:rFonts w:ascii="Times New Roman" w:hAnsi="Times New Roman"/>
          <w:lang w:val="en-US" w:eastAsia="ko-KR"/>
        </w:rPr>
      </w:pPr>
      <w:r>
        <w:rPr>
          <w:rFonts w:ascii="Times New Roman" w:hAnsi="Times New Roman"/>
          <w:lang w:val="en-US" w:eastAsia="ko-KR"/>
        </w:rPr>
        <w:t>Among the products tested include p</w:t>
      </w:r>
      <w:r w:rsidRPr="000143A2">
        <w:rPr>
          <w:rFonts w:ascii="Times New Roman" w:hAnsi="Times New Roman"/>
          <w:lang w:val="en-US" w:eastAsia="ko-KR"/>
        </w:rPr>
        <w:t>ocket calculators, hair racks, combs, and toy cars</w:t>
      </w:r>
      <w:r>
        <w:rPr>
          <w:rFonts w:ascii="Times New Roman" w:hAnsi="Times New Roman"/>
          <w:lang w:val="en-US" w:eastAsia="ko-KR"/>
        </w:rPr>
        <w:t xml:space="preserve"> products that do not pose </w:t>
      </w:r>
      <w:r w:rsidRPr="000143A2">
        <w:rPr>
          <w:rFonts w:ascii="Times New Roman" w:hAnsi="Times New Roman"/>
          <w:lang w:val="en-US" w:eastAsia="ko-KR"/>
        </w:rPr>
        <w:t xml:space="preserve"> a fire hazard and should certainly not contain</w:t>
      </w:r>
      <w:r>
        <w:rPr>
          <w:rFonts w:ascii="Times New Roman" w:hAnsi="Times New Roman"/>
          <w:lang w:val="en-US" w:eastAsia="ko-KR"/>
        </w:rPr>
        <w:t xml:space="preserve"> some of the most hazardous</w:t>
      </w:r>
      <w:r w:rsidRPr="000143A2">
        <w:rPr>
          <w:rFonts w:ascii="Times New Roman" w:hAnsi="Times New Roman"/>
          <w:lang w:val="en-US" w:eastAsia="ko-KR"/>
        </w:rPr>
        <w:t xml:space="preserve"> substances  listed for global elimination under the Stockholm Convention. </w:t>
      </w:r>
    </w:p>
    <w:p w:rsidR="003A15C1" w:rsidRPr="000143A2" w:rsidRDefault="003A15C1" w:rsidP="00442D9D">
      <w:pPr>
        <w:spacing w:after="0" w:line="240" w:lineRule="auto"/>
        <w:rPr>
          <w:rFonts w:ascii="Times New Roman" w:hAnsi="Times New Roman"/>
          <w:lang w:val="en-US" w:eastAsia="ko-KR"/>
        </w:rPr>
      </w:pPr>
    </w:p>
    <w:p w:rsidR="003A15C1" w:rsidRPr="000143A2" w:rsidRDefault="003A15C1" w:rsidP="00442D9D">
      <w:pPr>
        <w:spacing w:after="0" w:line="240" w:lineRule="auto"/>
        <w:rPr>
          <w:rFonts w:ascii="Times New Roman" w:hAnsi="Times New Roman"/>
          <w:lang w:val="en-US" w:eastAsia="ko-KR"/>
        </w:rPr>
      </w:pPr>
      <w:r w:rsidRPr="000143A2">
        <w:rPr>
          <w:rFonts w:ascii="Times New Roman" w:hAnsi="Times New Roman"/>
          <w:lang w:val="en-US" w:eastAsia="ko-KR"/>
        </w:rPr>
        <w:t xml:space="preserve">An </w:t>
      </w:r>
      <w:hyperlink r:id="rId16" w:history="1">
        <w:r w:rsidRPr="000143A2">
          <w:rPr>
            <w:rStyle w:val="Hyperlink"/>
            <w:rFonts w:ascii="Times New Roman" w:hAnsi="Times New Roman"/>
            <w:lang w:val="en-US" w:eastAsia="ko-KR"/>
          </w:rPr>
          <w:t>earlier study</w:t>
        </w:r>
      </w:hyperlink>
      <w:r w:rsidRPr="000143A2">
        <w:rPr>
          <w:rFonts w:ascii="Times New Roman" w:hAnsi="Times New Roman"/>
          <w:lang w:val="en-US" w:eastAsia="ko-KR"/>
        </w:rPr>
        <w:t xml:space="preserve"> </w:t>
      </w:r>
      <w:r>
        <w:rPr>
          <w:rFonts w:ascii="Times New Roman" w:hAnsi="Times New Roman"/>
          <w:lang w:val="en-US" w:eastAsia="ko-KR"/>
        </w:rPr>
        <w:t xml:space="preserve">conducted in 2009 </w:t>
      </w:r>
      <w:r w:rsidRPr="000143A2">
        <w:rPr>
          <w:rFonts w:ascii="Times New Roman" w:hAnsi="Times New Roman"/>
          <w:lang w:val="en-US" w:eastAsia="ko-KR"/>
        </w:rPr>
        <w:t xml:space="preserve">of recycled foam products on the Canadian market used as underlay for carpets also found high levels of flame retardant chemicals. In a study with </w:t>
      </w:r>
      <w:r>
        <w:rPr>
          <w:rFonts w:ascii="Times New Roman" w:hAnsi="Times New Roman"/>
          <w:lang w:val="en-US" w:eastAsia="ko-KR"/>
        </w:rPr>
        <w:t>s</w:t>
      </w:r>
      <w:r w:rsidRPr="000143A2">
        <w:rPr>
          <w:rFonts w:ascii="Times New Roman" w:hAnsi="Times New Roman"/>
          <w:lang w:val="en-US" w:eastAsia="ko-KR"/>
        </w:rPr>
        <w:t xml:space="preserve">amples from Canada, Hungary, Kyrgyzstan, Nepal, Thailand and USA, the two highest levels of commercial PentaBDE (listed in the treaty as TetraBDE and PentaBDE) were from samples purchased in Ottawa (1130 ppm) and Victoria (1052 ppm). The three highest levels of commercial OctaBDE (listed in the treaty as HexaBDE and HeptaBDE) were from Toronto (263 ppm), Winnipeg (145 ppm), and Ottawa (86 ppm). </w:t>
      </w:r>
    </w:p>
    <w:p w:rsidR="003A15C1" w:rsidRPr="000143A2" w:rsidRDefault="003A15C1" w:rsidP="00442D9D">
      <w:pPr>
        <w:spacing w:after="0" w:line="240" w:lineRule="auto"/>
        <w:rPr>
          <w:rFonts w:ascii="Times New Roman" w:hAnsi="Times New Roman"/>
          <w:lang w:val="en-US" w:eastAsia="ko-KR"/>
        </w:rPr>
      </w:pPr>
    </w:p>
    <w:p w:rsidR="003A15C1" w:rsidRPr="000143A2" w:rsidRDefault="003A15C1" w:rsidP="00442D9D">
      <w:pPr>
        <w:spacing w:after="0" w:line="240" w:lineRule="auto"/>
        <w:rPr>
          <w:rFonts w:ascii="Times New Roman" w:hAnsi="Times New Roman"/>
          <w:lang w:val="en-US" w:eastAsia="ko-KR"/>
        </w:rPr>
      </w:pPr>
      <w:r w:rsidRPr="000143A2">
        <w:rPr>
          <w:rFonts w:ascii="Times New Roman" w:hAnsi="Times New Roman"/>
          <w:lang w:val="en-US" w:eastAsia="ko-KR"/>
        </w:rPr>
        <w:t xml:space="preserve">The principal consequence of the recycling exemption is contamination of products made of recycled plastic or foam with toxic chemicals. The flame retardant substances at issue resemble PCBs and </w:t>
      </w:r>
      <w:r w:rsidRPr="000143A2">
        <w:rPr>
          <w:rFonts w:ascii="Times New Roman" w:hAnsi="Times New Roman"/>
          <w:lang w:val="en-GB"/>
        </w:rPr>
        <w:t xml:space="preserve">are known to disrupt human hormone systems, adversely impacting the </w:t>
      </w:r>
      <w:hyperlink r:id="rId17" w:history="1">
        <w:r w:rsidRPr="000143A2">
          <w:rPr>
            <w:rStyle w:val="Hyperlink"/>
            <w:rFonts w:ascii="Times New Roman" w:hAnsi="Times New Roman"/>
            <w:lang w:val="en-GB"/>
          </w:rPr>
          <w:t>development of the nervous system</w:t>
        </w:r>
      </w:hyperlink>
      <w:r w:rsidRPr="000143A2">
        <w:rPr>
          <w:rFonts w:ascii="Times New Roman" w:hAnsi="Times New Roman"/>
          <w:lang w:val="en-GB"/>
        </w:rPr>
        <w:t xml:space="preserve"> and </w:t>
      </w:r>
      <w:hyperlink r:id="rId18" w:history="1">
        <w:r w:rsidRPr="000143A2">
          <w:rPr>
            <w:rStyle w:val="Hyperlink"/>
            <w:rFonts w:ascii="Times New Roman" w:hAnsi="Times New Roman"/>
            <w:lang w:val="en-GB"/>
          </w:rPr>
          <w:t>children’s intelligence</w:t>
        </w:r>
      </w:hyperlink>
      <w:r w:rsidRPr="000143A2">
        <w:rPr>
          <w:rFonts w:ascii="Times New Roman" w:hAnsi="Times New Roman"/>
          <w:lang w:val="en-GB"/>
        </w:rPr>
        <w:t xml:space="preserve">. They are also known to be released into </w:t>
      </w:r>
      <w:hyperlink r:id="rId19" w:history="1">
        <w:r w:rsidRPr="000143A2">
          <w:rPr>
            <w:rStyle w:val="Hyperlink"/>
            <w:rFonts w:ascii="Times New Roman" w:hAnsi="Times New Roman"/>
            <w:lang w:val="en-GB"/>
          </w:rPr>
          <w:t>household dust</w:t>
        </w:r>
      </w:hyperlink>
      <w:r w:rsidRPr="000143A2">
        <w:rPr>
          <w:rFonts w:ascii="Times New Roman" w:hAnsi="Times New Roman"/>
          <w:lang w:val="en-GB"/>
        </w:rPr>
        <w:t xml:space="preserve">, causing exposure. Foam recyclers and carpet layers in the USA have </w:t>
      </w:r>
      <w:hyperlink r:id="rId20" w:history="1">
        <w:r w:rsidRPr="000143A2">
          <w:rPr>
            <w:rStyle w:val="Hyperlink"/>
            <w:rFonts w:ascii="Times New Roman" w:hAnsi="Times New Roman"/>
            <w:lang w:val="en-GB"/>
          </w:rPr>
          <w:t>high body burdens of flame retardants</w:t>
        </w:r>
      </w:hyperlink>
      <w:r w:rsidRPr="000143A2">
        <w:rPr>
          <w:rFonts w:ascii="Times New Roman" w:hAnsi="Times New Roman"/>
          <w:lang w:val="en-GB"/>
        </w:rPr>
        <w:t xml:space="preserve"> and researchers note that they, </w:t>
      </w:r>
      <w:r w:rsidRPr="000143A2">
        <w:rPr>
          <w:rFonts w:ascii="Times New Roman" w:hAnsi="Times New Roman"/>
          <w:i/>
          <w:lang w:val="en-GB"/>
        </w:rPr>
        <w:t>“may be at higher risk from adverse health effects associated with brominated flame retardant exposure.”</w:t>
      </w:r>
      <w:r w:rsidRPr="000143A2">
        <w:rPr>
          <w:rFonts w:ascii="Times New Roman" w:hAnsi="Times New Roman"/>
          <w:lang w:val="en-GB"/>
        </w:rPr>
        <w:t xml:space="preserve"> </w:t>
      </w:r>
      <w:r>
        <w:rPr>
          <w:rFonts w:ascii="Times New Roman" w:hAnsi="Times New Roman"/>
          <w:lang w:val="en-GB"/>
        </w:rPr>
        <w:t>No studies have been conducted in Canada to determine occupational exposure of these POPS in recycling facilities.</w:t>
      </w:r>
    </w:p>
    <w:p w:rsidR="003A15C1" w:rsidRPr="000143A2" w:rsidRDefault="003A15C1" w:rsidP="00442D9D">
      <w:pPr>
        <w:spacing w:after="0" w:line="240" w:lineRule="auto"/>
        <w:rPr>
          <w:rFonts w:ascii="Times New Roman" w:hAnsi="Times New Roman"/>
          <w:lang w:val="en-US" w:eastAsia="ko-KR"/>
        </w:rPr>
      </w:pPr>
    </w:p>
    <w:p w:rsidR="003A15C1" w:rsidRPr="000143A2" w:rsidRDefault="003A15C1" w:rsidP="00442D9D">
      <w:pPr>
        <w:spacing w:after="0" w:line="240" w:lineRule="auto"/>
        <w:rPr>
          <w:rFonts w:ascii="Times New Roman" w:hAnsi="Times New Roman"/>
          <w:lang w:val="en-US" w:eastAsia="ko-KR"/>
        </w:rPr>
      </w:pPr>
      <w:r w:rsidRPr="000143A2">
        <w:rPr>
          <w:rFonts w:ascii="Times New Roman" w:hAnsi="Times New Roman"/>
          <w:lang w:val="en-US" w:eastAsia="ko-KR"/>
        </w:rPr>
        <w:t xml:space="preserve">Ironically, </w:t>
      </w:r>
      <w:r>
        <w:rPr>
          <w:rFonts w:ascii="Times New Roman" w:hAnsi="Times New Roman"/>
          <w:lang w:val="en-US" w:eastAsia="ko-KR"/>
        </w:rPr>
        <w:t xml:space="preserve">recycling </w:t>
      </w:r>
      <w:r w:rsidRPr="000143A2">
        <w:rPr>
          <w:rFonts w:ascii="Times New Roman" w:hAnsi="Times New Roman"/>
          <w:lang w:val="en-US" w:eastAsia="ko-KR"/>
        </w:rPr>
        <w:t xml:space="preserve">practice such which is supposed to be environmentally friendly can lead to toxic substances in products as they are carried along in the recycling process. In this case, PBDEs have been widely used in plastic enclosures for electronics. In essence, toxic chemicals in electronic waste are being recycled into consumer products, including children’s products. </w:t>
      </w:r>
      <w:r>
        <w:rPr>
          <w:rFonts w:ascii="Times New Roman" w:hAnsi="Times New Roman"/>
          <w:lang w:val="en-US" w:eastAsia="ko-KR"/>
        </w:rPr>
        <w:t xml:space="preserve">At a time when many countries including Canada have made commitments to increase recycling through a circular economy, the presence of toxic chemicals in products made from recycled materials reveals a gap not well addressed within a circular economy framework. As a result, the ongoing presence of toxic chemicals in products such as these POPS </w:t>
      </w:r>
      <w:r w:rsidRPr="000143A2">
        <w:rPr>
          <w:rFonts w:ascii="Times New Roman" w:hAnsi="Times New Roman"/>
          <w:lang w:val="en-GB"/>
        </w:rPr>
        <w:t>diminishes the overall credibility of recycling.</w:t>
      </w:r>
    </w:p>
    <w:p w:rsidR="003A15C1" w:rsidRPr="000143A2" w:rsidRDefault="003A15C1" w:rsidP="00442D9D">
      <w:pPr>
        <w:spacing w:after="0" w:line="240" w:lineRule="auto"/>
        <w:rPr>
          <w:rFonts w:ascii="Times New Roman" w:hAnsi="Times New Roman"/>
          <w:lang w:val="en-US" w:eastAsia="ko-KR"/>
        </w:rPr>
      </w:pPr>
    </w:p>
    <w:p w:rsidR="003A15C1" w:rsidRPr="000143A2" w:rsidRDefault="003A15C1" w:rsidP="000813A6">
      <w:pPr>
        <w:spacing w:after="0" w:line="240" w:lineRule="auto"/>
        <w:rPr>
          <w:rFonts w:ascii="Times New Roman" w:hAnsi="Times New Roman"/>
        </w:rPr>
      </w:pPr>
      <w:r w:rsidRPr="000143A2">
        <w:rPr>
          <w:rFonts w:ascii="Times New Roman" w:hAnsi="Times New Roman"/>
          <w:lang w:val="en-US" w:eastAsia="ko-KR"/>
        </w:rPr>
        <w:t xml:space="preserve">For these reasons, we respectfully request Canada to withdraw its recycling exemptions for </w:t>
      </w:r>
      <w:r w:rsidRPr="000143A2">
        <w:rPr>
          <w:rFonts w:ascii="Times New Roman" w:hAnsi="Times New Roman"/>
        </w:rPr>
        <w:t>TetraBDE, PentaBDE, HexaBDE and HeptaBDE under the Stockholm Convention</w:t>
      </w:r>
      <w:r>
        <w:rPr>
          <w:rFonts w:ascii="Times New Roman" w:hAnsi="Times New Roman"/>
        </w:rPr>
        <w:t xml:space="preserve"> at the next COP</w:t>
      </w:r>
      <w:r w:rsidRPr="000143A2">
        <w:rPr>
          <w:rFonts w:ascii="Times New Roman" w:hAnsi="Times New Roman"/>
        </w:rPr>
        <w:t xml:space="preserve">. </w:t>
      </w:r>
      <w:r>
        <w:rPr>
          <w:rFonts w:ascii="Times New Roman" w:hAnsi="Times New Roman"/>
        </w:rPr>
        <w:t>Lifting these exemptions will contribute to the achieving the ultimate goal of elimination under the Convention for these POPs.</w:t>
      </w:r>
    </w:p>
    <w:p w:rsidR="003A15C1" w:rsidRPr="000143A2" w:rsidRDefault="003A15C1" w:rsidP="000813A6">
      <w:pPr>
        <w:spacing w:after="0" w:line="240" w:lineRule="auto"/>
        <w:rPr>
          <w:rFonts w:ascii="Times New Roman" w:hAnsi="Times New Roman"/>
        </w:rPr>
      </w:pPr>
    </w:p>
    <w:p w:rsidR="003A15C1" w:rsidRPr="000143A2" w:rsidRDefault="003A15C1" w:rsidP="00442D9D">
      <w:pPr>
        <w:spacing w:after="0" w:line="240" w:lineRule="auto"/>
        <w:rPr>
          <w:rFonts w:ascii="Times New Roman" w:hAnsi="Times New Roman"/>
          <w:lang w:val="en-US" w:eastAsia="ko-KR"/>
        </w:rPr>
      </w:pPr>
      <w:r w:rsidRPr="000143A2">
        <w:rPr>
          <w:rFonts w:ascii="Times New Roman" w:hAnsi="Times New Roman"/>
        </w:rPr>
        <w:t>We note that other Parties have already withdrawn their recycling exemptions for these substances or they have expired</w:t>
      </w:r>
      <w:r w:rsidRPr="000143A2">
        <w:rPr>
          <w:rFonts w:ascii="Times New Roman" w:hAnsi="Times New Roman"/>
          <w:lang w:val="en-US" w:eastAsia="ko-KR"/>
        </w:rPr>
        <w:t>. Czech</w:t>
      </w:r>
      <w:r>
        <w:rPr>
          <w:rFonts w:ascii="Times New Roman" w:hAnsi="Times New Roman"/>
          <w:lang w:val="en-US" w:eastAsia="ko-KR"/>
        </w:rPr>
        <w:t xml:space="preserve"> Republic</w:t>
      </w:r>
      <w:r w:rsidRPr="000143A2">
        <w:rPr>
          <w:rFonts w:ascii="Times New Roman" w:hAnsi="Times New Roman"/>
          <w:lang w:val="en-US" w:eastAsia="ko-KR"/>
        </w:rPr>
        <w:t xml:space="preserve">, Iran, and Vietnam no longer have recycling exemptions for </w:t>
      </w:r>
      <w:hyperlink r:id="rId21" w:history="1">
        <w:r w:rsidRPr="000143A2">
          <w:rPr>
            <w:rStyle w:val="Hyperlink"/>
            <w:rFonts w:ascii="Times New Roman" w:hAnsi="Times New Roman"/>
          </w:rPr>
          <w:t>TetraBDE and PentaBDE</w:t>
        </w:r>
      </w:hyperlink>
      <w:r w:rsidRPr="000143A2">
        <w:rPr>
          <w:rFonts w:ascii="Times New Roman" w:hAnsi="Times New Roman"/>
        </w:rPr>
        <w:t xml:space="preserve"> as of 2014 – 2015 and Japan withdrew their exemptions for a variety of uses including recycling automobile shredder residues, refuse paper and plastic fuel, recycling automobile shredder residues to sound-proofing products, and recycling plastics from used specific home appliances (air conditioner, television sets, refrigerator, freezer, washing machine and clothes dryer) and personal computers to construction material and daily necessities such as hangers and bookends. </w:t>
      </w:r>
      <w:r w:rsidRPr="000143A2">
        <w:rPr>
          <w:rFonts w:ascii="Times New Roman" w:hAnsi="Times New Roman"/>
          <w:lang w:val="en-US" w:eastAsia="ko-KR"/>
        </w:rPr>
        <w:t>Czechia and Iran also no longer have recycling exemptions for</w:t>
      </w:r>
      <w:r w:rsidRPr="000143A2">
        <w:rPr>
          <w:rFonts w:ascii="Times New Roman" w:hAnsi="Times New Roman"/>
        </w:rPr>
        <w:t xml:space="preserve"> </w:t>
      </w:r>
      <w:hyperlink r:id="rId22" w:history="1">
        <w:r w:rsidRPr="000143A2">
          <w:rPr>
            <w:rStyle w:val="Hyperlink"/>
            <w:rFonts w:ascii="Times New Roman" w:hAnsi="Times New Roman"/>
          </w:rPr>
          <w:t>HexaBDE and HeptaBDE</w:t>
        </w:r>
      </w:hyperlink>
      <w:r w:rsidRPr="000143A2">
        <w:rPr>
          <w:rFonts w:ascii="Times New Roman" w:hAnsi="Times New Roman"/>
        </w:rPr>
        <w:t xml:space="preserve"> as of 2014 – 2015 and Japan withdrew recycling exemptions for the uses described above.</w:t>
      </w:r>
    </w:p>
    <w:p w:rsidR="003A15C1" w:rsidRPr="000143A2" w:rsidRDefault="003A15C1" w:rsidP="00442D9D">
      <w:pPr>
        <w:spacing w:after="0" w:line="240" w:lineRule="auto"/>
        <w:rPr>
          <w:rFonts w:ascii="Times New Roman" w:hAnsi="Times New Roman"/>
          <w:lang w:val="en-US" w:eastAsia="ko-KR"/>
        </w:rPr>
      </w:pPr>
    </w:p>
    <w:p w:rsidR="003A15C1" w:rsidRPr="000143A2" w:rsidRDefault="003A15C1" w:rsidP="00547354">
      <w:pPr>
        <w:spacing w:after="0" w:line="240" w:lineRule="auto"/>
        <w:rPr>
          <w:rFonts w:ascii="Times New Roman" w:hAnsi="Times New Roman"/>
          <w:lang w:val="en-GB"/>
        </w:rPr>
      </w:pPr>
      <w:r w:rsidRPr="000143A2">
        <w:rPr>
          <w:rFonts w:ascii="Times New Roman" w:hAnsi="Times New Roman"/>
          <w:lang w:val="en-US" w:eastAsia="ko-KR"/>
        </w:rPr>
        <w:t xml:space="preserve">We note that </w:t>
      </w:r>
      <w:hyperlink r:id="rId23" w:history="1">
        <w:r w:rsidRPr="000143A2">
          <w:rPr>
            <w:rStyle w:val="Hyperlink"/>
            <w:rFonts w:ascii="Times New Roman" w:hAnsi="Times New Roman"/>
            <w:lang w:val="en-GB"/>
          </w:rPr>
          <w:t>technical solutions exist for separation</w:t>
        </w:r>
      </w:hyperlink>
      <w:r w:rsidRPr="000143A2">
        <w:rPr>
          <w:rFonts w:ascii="Times New Roman" w:hAnsi="Times New Roman"/>
          <w:lang w:val="en-GB"/>
        </w:rPr>
        <w:t xml:space="preserve"> of PBDE-contaminated waste including </w:t>
      </w:r>
      <w:hyperlink r:id="rId24" w:history="1">
        <w:r w:rsidRPr="000143A2">
          <w:rPr>
            <w:rStyle w:val="Hyperlink"/>
            <w:rFonts w:ascii="Times New Roman" w:hAnsi="Times New Roman"/>
            <w:lang w:val="en-GB" w:eastAsia="ko-KR"/>
          </w:rPr>
          <w:t>Creasolv</w:t>
        </w:r>
      </w:hyperlink>
      <w:r w:rsidRPr="000143A2">
        <w:rPr>
          <w:rFonts w:ascii="Times New Roman" w:hAnsi="Times New Roman"/>
          <w:lang w:val="en-GB" w:eastAsia="ko-KR"/>
        </w:rPr>
        <w:t xml:space="preserve">, </w:t>
      </w:r>
      <w:r w:rsidRPr="000143A2">
        <w:rPr>
          <w:rFonts w:ascii="Times New Roman" w:hAnsi="Times New Roman"/>
          <w:lang w:val="en-GB"/>
        </w:rPr>
        <w:t xml:space="preserve">x-ray fluorescence devices, x-ray transmission devices, and even low-cost sink-float methods. </w:t>
      </w:r>
      <w:r w:rsidRPr="000143A2">
        <w:rPr>
          <w:rFonts w:ascii="Times New Roman" w:hAnsi="Times New Roman"/>
          <w:lang w:val="en-GB" w:eastAsia="ko-KR"/>
        </w:rPr>
        <w:t xml:space="preserve">Techniques for destruction of PBDEs as required under the Stockholm Convention include </w:t>
      </w:r>
      <w:hyperlink r:id="rId25" w:history="1">
        <w:r w:rsidRPr="000143A2">
          <w:rPr>
            <w:rStyle w:val="Hyperlink"/>
            <w:rFonts w:ascii="Times New Roman" w:hAnsi="Times New Roman"/>
            <w:lang w:val="en-GB" w:eastAsia="ko-KR"/>
          </w:rPr>
          <w:t>non-combustion techniques</w:t>
        </w:r>
      </w:hyperlink>
      <w:r w:rsidRPr="000143A2">
        <w:rPr>
          <w:rFonts w:ascii="Times New Roman" w:hAnsi="Times New Roman"/>
          <w:lang w:val="en-GB" w:eastAsia="ko-KR"/>
        </w:rPr>
        <w:t xml:space="preserve"> such as super critical water oxidation (SCWO), gas phase chemical reduction, and mechanochemical processes such as high-energy ball milling.</w:t>
      </w:r>
    </w:p>
    <w:p w:rsidR="003A15C1" w:rsidRPr="000143A2" w:rsidRDefault="003A15C1" w:rsidP="00547354">
      <w:pPr>
        <w:spacing w:after="0" w:line="240" w:lineRule="auto"/>
        <w:rPr>
          <w:rFonts w:ascii="Times New Roman" w:hAnsi="Times New Roman"/>
          <w:lang w:val="en-GB"/>
        </w:rPr>
      </w:pPr>
    </w:p>
    <w:p w:rsidR="003A15C1" w:rsidRDefault="003A15C1" w:rsidP="009658C4">
      <w:pPr>
        <w:spacing w:after="0" w:line="240" w:lineRule="auto"/>
        <w:rPr>
          <w:rFonts w:ascii="Times New Roman" w:hAnsi="Times New Roman"/>
          <w:lang w:val="en-GB" w:eastAsia="ko-KR"/>
        </w:rPr>
      </w:pPr>
      <w:r w:rsidRPr="000143A2">
        <w:rPr>
          <w:rFonts w:ascii="Times New Roman" w:hAnsi="Times New Roman"/>
          <w:lang w:val="en-GB"/>
        </w:rPr>
        <w:t xml:space="preserve">Canadian consumers should be able to purchase products made of recycled materials without having to worry that they contain substances that are globally banned. </w:t>
      </w:r>
      <w:r w:rsidRPr="00D30299">
        <w:rPr>
          <w:rFonts w:ascii="Times New Roman" w:hAnsi="Times New Roman"/>
          <w:b/>
          <w:i/>
          <w:lang w:val="en-GB"/>
        </w:rPr>
        <w:t>We hope that Canada will</w:t>
      </w:r>
      <w:r>
        <w:rPr>
          <w:rFonts w:ascii="Times New Roman" w:hAnsi="Times New Roman"/>
          <w:b/>
          <w:i/>
          <w:lang w:val="en-GB"/>
        </w:rPr>
        <w:t xml:space="preserve"> </w:t>
      </w:r>
      <w:r w:rsidRPr="00D30299">
        <w:rPr>
          <w:rFonts w:ascii="Times New Roman" w:hAnsi="Times New Roman"/>
          <w:b/>
          <w:i/>
          <w:lang w:val="en-GB"/>
        </w:rPr>
        <w:t xml:space="preserve">announce its withdrawal of the </w:t>
      </w:r>
      <w:r w:rsidRPr="00D30299">
        <w:rPr>
          <w:rFonts w:ascii="Times New Roman" w:hAnsi="Times New Roman"/>
          <w:b/>
          <w:i/>
          <w:lang w:val="en-US" w:eastAsia="ko-KR"/>
        </w:rPr>
        <w:t xml:space="preserve">recycling exemptions for </w:t>
      </w:r>
      <w:r w:rsidRPr="00D30299">
        <w:rPr>
          <w:rFonts w:ascii="Times New Roman" w:hAnsi="Times New Roman"/>
          <w:b/>
          <w:i/>
        </w:rPr>
        <w:t xml:space="preserve">TetraBDE, PentaBDE, HexaBDE and HeptaBDE at the upcoming </w:t>
      </w:r>
      <w:hyperlink r:id="rId26" w:history="1">
        <w:r w:rsidRPr="00D30299">
          <w:rPr>
            <w:rStyle w:val="Hyperlink"/>
            <w:rFonts w:ascii="Times New Roman" w:hAnsi="Times New Roman"/>
            <w:b/>
            <w:i/>
            <w:lang w:val="en-US"/>
          </w:rPr>
          <w:t>9</w:t>
        </w:r>
        <w:r w:rsidRPr="00D30299">
          <w:rPr>
            <w:rStyle w:val="Hyperlink"/>
            <w:rFonts w:ascii="Times New Roman" w:hAnsi="Times New Roman"/>
            <w:b/>
            <w:i/>
            <w:vertAlign w:val="superscript"/>
            <w:lang w:val="en-US" w:eastAsia="ko-KR"/>
          </w:rPr>
          <w:t xml:space="preserve">th </w:t>
        </w:r>
        <w:r w:rsidRPr="00D30299">
          <w:rPr>
            <w:rStyle w:val="Hyperlink"/>
            <w:rFonts w:ascii="Times New Roman" w:hAnsi="Times New Roman"/>
            <w:b/>
            <w:i/>
            <w:lang w:val="en-GB" w:eastAsia="ko-KR"/>
          </w:rPr>
          <w:t>Conference of the Parties</w:t>
        </w:r>
      </w:hyperlink>
      <w:r w:rsidRPr="00D30299">
        <w:rPr>
          <w:rFonts w:ascii="Times New Roman" w:hAnsi="Times New Roman"/>
          <w:b/>
          <w:i/>
          <w:lang w:val="en-GB" w:eastAsia="ko-KR"/>
        </w:rPr>
        <w:t xml:space="preserve"> 29 April </w:t>
      </w:r>
      <w:r w:rsidRPr="007724D5">
        <w:rPr>
          <w:rFonts w:ascii="Times New Roman" w:hAnsi="Times New Roman"/>
          <w:b/>
          <w:i/>
          <w:lang w:val="en-GB" w:eastAsia="ko-KR"/>
        </w:rPr>
        <w:t>–</w:t>
      </w:r>
      <w:r w:rsidRPr="00D30299">
        <w:rPr>
          <w:rFonts w:ascii="Times New Roman" w:hAnsi="Times New Roman"/>
          <w:b/>
          <w:i/>
          <w:lang w:val="en-GB" w:eastAsia="ko-KR"/>
        </w:rPr>
        <w:t xml:space="preserve"> 10 May in Geneva.</w:t>
      </w:r>
      <w:r w:rsidRPr="000143A2">
        <w:rPr>
          <w:rFonts w:ascii="Times New Roman" w:hAnsi="Times New Roman"/>
          <w:lang w:val="en-GB" w:eastAsia="ko-KR"/>
        </w:rPr>
        <w:t xml:space="preserve"> </w:t>
      </w:r>
    </w:p>
    <w:p w:rsidR="003A15C1" w:rsidRDefault="003A15C1" w:rsidP="009658C4">
      <w:pPr>
        <w:spacing w:after="0" w:line="240" w:lineRule="auto"/>
        <w:rPr>
          <w:rFonts w:ascii="Times New Roman" w:hAnsi="Times New Roman"/>
          <w:lang w:val="en-GB" w:eastAsia="ko-KR"/>
        </w:rPr>
      </w:pPr>
    </w:p>
    <w:p w:rsidR="003A15C1" w:rsidRDefault="003A15C1" w:rsidP="009658C4">
      <w:pPr>
        <w:spacing w:after="0" w:line="240" w:lineRule="auto"/>
        <w:rPr>
          <w:rFonts w:ascii="Times New Roman" w:hAnsi="Times New Roman"/>
          <w:lang w:val="en-GB" w:eastAsia="ko-KR"/>
        </w:rPr>
      </w:pPr>
      <w:r w:rsidRPr="000143A2">
        <w:rPr>
          <w:rFonts w:ascii="Times New Roman" w:hAnsi="Times New Roman"/>
          <w:lang w:val="en-GB" w:eastAsia="ko-KR"/>
        </w:rPr>
        <w:t>We welcome</w:t>
      </w:r>
      <w:r>
        <w:rPr>
          <w:rFonts w:ascii="Times New Roman" w:hAnsi="Times New Roman"/>
          <w:lang w:val="en-GB" w:eastAsia="ko-KR"/>
        </w:rPr>
        <w:t xml:space="preserve"> an</w:t>
      </w:r>
      <w:r w:rsidRPr="000143A2">
        <w:rPr>
          <w:rFonts w:ascii="Times New Roman" w:hAnsi="Times New Roman"/>
          <w:lang w:val="en-GB" w:eastAsia="ko-KR"/>
        </w:rPr>
        <w:t xml:space="preserve"> </w:t>
      </w:r>
      <w:r>
        <w:rPr>
          <w:rFonts w:ascii="Times New Roman" w:hAnsi="Times New Roman"/>
          <w:lang w:val="en-GB" w:eastAsia="ko-KR"/>
        </w:rPr>
        <w:t xml:space="preserve">opportunity to discuss </w:t>
      </w:r>
      <w:r w:rsidRPr="000143A2">
        <w:rPr>
          <w:rFonts w:ascii="Times New Roman" w:hAnsi="Times New Roman"/>
          <w:lang w:val="en-GB" w:eastAsia="ko-KR"/>
        </w:rPr>
        <w:t>this important matter for Stockholm Convention implementation and protection of Canadian consumers.</w:t>
      </w:r>
      <w:r>
        <w:rPr>
          <w:rFonts w:ascii="Times New Roman" w:hAnsi="Times New Roman"/>
          <w:lang w:val="en-GB" w:eastAsia="ko-KR"/>
        </w:rPr>
        <w:t xml:space="preserve">  Please do not hesitate to contact us.</w:t>
      </w:r>
    </w:p>
    <w:p w:rsidR="003A15C1" w:rsidRDefault="003A15C1" w:rsidP="009658C4">
      <w:pPr>
        <w:spacing w:after="0" w:line="240" w:lineRule="auto"/>
        <w:rPr>
          <w:rFonts w:ascii="Times New Roman" w:hAnsi="Times New Roman"/>
          <w:lang w:val="en-GB" w:eastAsia="ko-KR"/>
        </w:rPr>
      </w:pPr>
    </w:p>
    <w:p w:rsidR="003A15C1" w:rsidRPr="000143A2" w:rsidRDefault="003A15C1" w:rsidP="009658C4">
      <w:pPr>
        <w:spacing w:after="0" w:line="240" w:lineRule="auto"/>
        <w:rPr>
          <w:rFonts w:ascii="Times New Roman" w:hAnsi="Times New Roman"/>
          <w:lang w:val="en-GB" w:eastAsia="ko-KR"/>
        </w:rPr>
      </w:pPr>
      <w:r>
        <w:rPr>
          <w:rFonts w:ascii="Times New Roman" w:hAnsi="Times New Roman"/>
          <w:lang w:val="en-GB" w:eastAsia="ko-KR"/>
        </w:rPr>
        <w:t>Thank you for your consideration to our recommendation.</w:t>
      </w:r>
    </w:p>
    <w:p w:rsidR="003A15C1" w:rsidRPr="000143A2" w:rsidRDefault="003A15C1" w:rsidP="009658C4">
      <w:pPr>
        <w:spacing w:after="0" w:line="240" w:lineRule="auto"/>
        <w:rPr>
          <w:rFonts w:ascii="Times New Roman" w:hAnsi="Times New Roman"/>
          <w:lang w:val="en-GB" w:eastAsia="ko-KR"/>
        </w:rPr>
      </w:pPr>
    </w:p>
    <w:p w:rsidR="003A15C1" w:rsidRDefault="003A15C1" w:rsidP="009658C4">
      <w:pPr>
        <w:spacing w:after="0" w:line="240" w:lineRule="auto"/>
        <w:rPr>
          <w:rFonts w:ascii="Times New Roman" w:hAnsi="Times New Roman"/>
          <w:lang w:val="en-GB" w:eastAsia="ko-KR"/>
        </w:rPr>
      </w:pPr>
      <w:r w:rsidRPr="000143A2">
        <w:rPr>
          <w:rFonts w:ascii="Times New Roman" w:hAnsi="Times New Roman"/>
          <w:lang w:val="en-GB" w:eastAsia="ko-KR"/>
        </w:rPr>
        <w:t>Cordially,</w:t>
      </w:r>
    </w:p>
    <w:p w:rsidR="003A15C1" w:rsidRPr="000143A2" w:rsidRDefault="003A15C1" w:rsidP="009658C4">
      <w:pPr>
        <w:spacing w:after="0" w:line="240" w:lineRule="auto"/>
        <w:rPr>
          <w:rFonts w:ascii="Times New Roman" w:hAnsi="Times New Roman"/>
          <w:lang w:val="en-GB" w:eastAsia="ko-KR"/>
        </w:rPr>
      </w:pPr>
    </w:p>
    <w:p w:rsidR="003A15C1" w:rsidRDefault="003A15C1" w:rsidP="009658C4">
      <w:pPr>
        <w:spacing w:after="0" w:line="240" w:lineRule="auto"/>
        <w:rPr>
          <w:rFonts w:ascii="Times New Roman" w:hAnsi="Times New Roman"/>
          <w:lang w:val="en-GB" w:eastAsia="ko-KR"/>
        </w:rPr>
      </w:pPr>
      <w:r w:rsidRPr="000143A2">
        <w:rPr>
          <w:rFonts w:ascii="Times New Roman" w:hAnsi="Times New Roman"/>
          <w:lang w:val="en-GB" w:eastAsia="ko-KR"/>
        </w:rPr>
        <w:t xml:space="preserve">Olga Speranskaya, </w:t>
      </w:r>
      <w:r>
        <w:rPr>
          <w:rFonts w:ascii="Times New Roman" w:hAnsi="Times New Roman"/>
          <w:lang w:val="en-GB" w:eastAsia="ko-KR"/>
        </w:rPr>
        <w:t>PhD</w:t>
      </w:r>
    </w:p>
    <w:p w:rsidR="003A15C1" w:rsidRDefault="003A15C1" w:rsidP="009658C4">
      <w:pPr>
        <w:spacing w:after="0" w:line="240" w:lineRule="auto"/>
        <w:rPr>
          <w:rFonts w:ascii="Times New Roman" w:hAnsi="Times New Roman"/>
          <w:lang w:val="en-GB" w:eastAsia="ko-KR"/>
        </w:rPr>
      </w:pPr>
      <w:r>
        <w:rPr>
          <w:rFonts w:ascii="Times New Roman" w:hAnsi="Times New Roman"/>
          <w:lang w:val="en-GB" w:eastAsia="ko-KR"/>
        </w:rPr>
        <w:t>Co-Director</w:t>
      </w:r>
    </w:p>
    <w:p w:rsidR="003A15C1" w:rsidRPr="00E20558" w:rsidRDefault="003A15C1" w:rsidP="009658C4">
      <w:pPr>
        <w:spacing w:after="0" w:line="240" w:lineRule="auto"/>
        <w:rPr>
          <w:rFonts w:ascii="Times New Roman" w:hAnsi="Times New Roman"/>
          <w:b/>
          <w:lang w:val="en-GB" w:eastAsia="ko-KR"/>
        </w:rPr>
      </w:pPr>
      <w:r w:rsidRPr="00E20558">
        <w:rPr>
          <w:rFonts w:ascii="Times New Roman" w:hAnsi="Times New Roman"/>
          <w:b/>
          <w:lang w:val="en-GB" w:eastAsia="ko-KR"/>
        </w:rPr>
        <w:t>Health and Environment Justice Support (HEJSupport)</w:t>
      </w:r>
    </w:p>
    <w:p w:rsidR="003A15C1" w:rsidRPr="000143A2" w:rsidRDefault="003A15C1" w:rsidP="00E12182">
      <w:pPr>
        <w:spacing w:after="0" w:line="240" w:lineRule="auto"/>
        <w:rPr>
          <w:rFonts w:ascii="Times New Roman" w:hAnsi="Times New Roman"/>
          <w:lang w:val="en-GB" w:eastAsia="ko-KR"/>
        </w:rPr>
      </w:pPr>
      <w:r w:rsidRPr="000143A2">
        <w:rPr>
          <w:rFonts w:ascii="Times New Roman" w:hAnsi="Times New Roman"/>
          <w:lang w:val="en-GB" w:eastAsia="ko-KR"/>
        </w:rPr>
        <w:t>https://hej-support.org/</w:t>
      </w:r>
    </w:p>
    <w:p w:rsidR="003A15C1" w:rsidRPr="00531F6C" w:rsidRDefault="003A15C1" w:rsidP="00E12182">
      <w:pPr>
        <w:spacing w:after="0"/>
        <w:rPr>
          <w:rFonts w:ascii="Times New Roman" w:hAnsi="Times New Roman" w:cs="Calibri"/>
          <w:lang w:val="en-GB"/>
        </w:rPr>
      </w:pPr>
      <w:r>
        <w:rPr>
          <w:rFonts w:ascii="Times New Roman" w:hAnsi="Times New Roman" w:cs="Calibri"/>
          <w:lang w:val="en-GB"/>
        </w:rPr>
        <w:t>Tel.: (+1) 613-252-9839</w:t>
      </w:r>
    </w:p>
    <w:p w:rsidR="003A15C1" w:rsidRPr="00531F6C" w:rsidRDefault="003A15C1" w:rsidP="00E12182">
      <w:pPr>
        <w:spacing w:after="0"/>
        <w:rPr>
          <w:rFonts w:ascii="Times New Roman" w:hAnsi="Times New Roman" w:cs="Calibri"/>
          <w:lang w:val="de-DE"/>
        </w:rPr>
      </w:pPr>
      <w:r w:rsidRPr="00531F6C">
        <w:rPr>
          <w:rFonts w:ascii="Times New Roman" w:hAnsi="Times New Roman" w:cs="Calibri"/>
          <w:lang w:val="de-DE"/>
        </w:rPr>
        <w:t>E-mail: olga.speranskaya@hej-support.org</w:t>
      </w:r>
    </w:p>
    <w:p w:rsidR="003A15C1" w:rsidRPr="00531F6C" w:rsidRDefault="003A15C1" w:rsidP="000143A2">
      <w:pPr>
        <w:spacing w:after="0" w:line="240" w:lineRule="auto"/>
        <w:rPr>
          <w:rFonts w:ascii="Times New Roman" w:eastAsia="MS Mincho" w:hAnsi="Times New Roman"/>
          <w:color w:val="000000"/>
          <w:lang w:val="de-DE" w:eastAsia="ja-JP" w:bidi="mr-IN"/>
        </w:rPr>
      </w:pPr>
    </w:p>
    <w:p w:rsidR="003A15C1" w:rsidRDefault="003A15C1" w:rsidP="000143A2">
      <w:pPr>
        <w:spacing w:after="0" w:line="240" w:lineRule="auto"/>
        <w:rPr>
          <w:rFonts w:ascii="Times New Roman" w:eastAsia="MS Mincho" w:hAnsi="Times New Roman"/>
          <w:color w:val="000000"/>
          <w:lang w:val="en-CA" w:eastAsia="ja-JP" w:bidi="mr-IN"/>
        </w:rPr>
      </w:pPr>
      <w:r w:rsidRPr="00D4001F">
        <w:rPr>
          <w:rFonts w:ascii="Times New Roman" w:eastAsia="MS Mincho" w:hAnsi="Times New Roman"/>
          <w:color w:val="000000"/>
          <w:lang w:val="en-CA" w:eastAsia="ja-JP" w:bidi="mr-IN"/>
        </w:rPr>
        <w:t xml:space="preserve">Fe de Leon, </w:t>
      </w:r>
      <w:r>
        <w:rPr>
          <w:rFonts w:ascii="Times New Roman" w:eastAsia="MS Mincho" w:hAnsi="Times New Roman"/>
          <w:color w:val="000000"/>
          <w:lang w:val="en-CA" w:eastAsia="ja-JP" w:bidi="mr-IN"/>
        </w:rPr>
        <w:t>MPH</w:t>
      </w:r>
    </w:p>
    <w:p w:rsidR="003A15C1" w:rsidRDefault="003A15C1" w:rsidP="000143A2">
      <w:pPr>
        <w:spacing w:after="0" w:line="240" w:lineRule="auto"/>
        <w:rPr>
          <w:rFonts w:ascii="Times New Roman" w:eastAsia="MS Mincho" w:hAnsi="Times New Roman"/>
          <w:color w:val="000000"/>
          <w:lang w:val="en-CA" w:eastAsia="ja-JP" w:bidi="mr-IN"/>
        </w:rPr>
      </w:pPr>
      <w:r>
        <w:rPr>
          <w:rFonts w:ascii="Times New Roman" w:eastAsia="MS Mincho" w:hAnsi="Times New Roman"/>
          <w:color w:val="000000"/>
          <w:lang w:val="en-CA" w:eastAsia="ja-JP" w:bidi="mr-IN"/>
        </w:rPr>
        <w:t>Researcher and Paralegal</w:t>
      </w:r>
    </w:p>
    <w:p w:rsidR="003A15C1" w:rsidRPr="00E20558" w:rsidRDefault="003A15C1" w:rsidP="000143A2">
      <w:pPr>
        <w:spacing w:after="0" w:line="240" w:lineRule="auto"/>
        <w:rPr>
          <w:rFonts w:ascii="Times New Roman" w:eastAsia="MS Mincho" w:hAnsi="Times New Roman"/>
          <w:b/>
          <w:color w:val="000000"/>
          <w:lang w:val="en-CA" w:eastAsia="ja-JP" w:bidi="mr-IN"/>
        </w:rPr>
      </w:pPr>
      <w:r w:rsidRPr="00E20558">
        <w:rPr>
          <w:rFonts w:ascii="Times New Roman" w:eastAsia="MS Mincho" w:hAnsi="Times New Roman"/>
          <w:b/>
          <w:color w:val="000000"/>
          <w:lang w:val="en-CA" w:eastAsia="ja-JP" w:bidi="mr-IN"/>
        </w:rPr>
        <w:t>Canadian Environmental Law Association</w:t>
      </w:r>
    </w:p>
    <w:p w:rsidR="003A15C1" w:rsidRPr="000143A2" w:rsidRDefault="003A15C1" w:rsidP="000143A2">
      <w:pPr>
        <w:spacing w:after="0" w:line="240" w:lineRule="auto"/>
        <w:rPr>
          <w:rFonts w:ascii="Times New Roman" w:hAnsi="Times New Roman"/>
          <w:color w:val="000000"/>
        </w:rPr>
      </w:pPr>
      <w:r w:rsidRPr="000143A2">
        <w:rPr>
          <w:rFonts w:ascii="Times New Roman" w:hAnsi="Times New Roman"/>
          <w:color w:val="000000"/>
        </w:rPr>
        <w:t>Tel.:</w:t>
      </w:r>
      <w:r>
        <w:rPr>
          <w:rFonts w:ascii="Times New Roman" w:hAnsi="Times New Roman"/>
          <w:color w:val="000000"/>
        </w:rPr>
        <w:t xml:space="preserve"> (+1) </w:t>
      </w:r>
      <w:r w:rsidRPr="000143A2">
        <w:rPr>
          <w:rFonts w:ascii="Times New Roman" w:hAnsi="Times New Roman"/>
          <w:color w:val="000000"/>
        </w:rPr>
        <w:t xml:space="preserve"> 416-960-2284 ext 7223</w:t>
      </w:r>
    </w:p>
    <w:p w:rsidR="003A15C1" w:rsidRPr="00D4001F" w:rsidRDefault="003A15C1" w:rsidP="009658C4">
      <w:pPr>
        <w:spacing w:after="0" w:line="240" w:lineRule="auto"/>
        <w:rPr>
          <w:rFonts w:ascii="Times New Roman" w:hAnsi="Times New Roman"/>
          <w:lang w:val="en-CA" w:eastAsia="ko-KR"/>
        </w:rPr>
      </w:pPr>
      <w:r w:rsidRPr="000143A2">
        <w:rPr>
          <w:rFonts w:ascii="Times New Roman" w:hAnsi="Times New Roman"/>
          <w:color w:val="000000"/>
        </w:rPr>
        <w:t xml:space="preserve">E-mail: </w:t>
      </w:r>
      <w:hyperlink r:id="rId27" w:tgtFrame="_blank" w:history="1">
        <w:r w:rsidRPr="000143A2">
          <w:rPr>
            <w:rStyle w:val="Hyperlink"/>
            <w:rFonts w:ascii="Times New Roman" w:hAnsi="Times New Roman"/>
            <w:color w:val="005BD1"/>
          </w:rPr>
          <w:t>deleonf@cela.ca</w:t>
        </w:r>
      </w:hyperlink>
    </w:p>
    <w:p w:rsidR="003A15C1" w:rsidRPr="00D4001F" w:rsidRDefault="003A15C1">
      <w:pPr>
        <w:rPr>
          <w:rFonts w:ascii="Times New Roman" w:hAnsi="Times New Roman" w:cs="Arial"/>
          <w:b/>
          <w:lang w:val="en-CA"/>
        </w:rPr>
      </w:pPr>
      <w:r w:rsidRPr="00D4001F">
        <w:rPr>
          <w:rFonts w:ascii="Times New Roman" w:hAnsi="Times New Roman" w:cs="Arial"/>
          <w:b/>
          <w:lang w:val="en-CA"/>
        </w:rPr>
        <w:br w:type="page"/>
      </w:r>
    </w:p>
    <w:p w:rsidR="003A15C1" w:rsidRDefault="003A15C1" w:rsidP="00547354">
      <w:pPr>
        <w:spacing w:after="0" w:line="240" w:lineRule="auto"/>
        <w:rPr>
          <w:rFonts w:ascii="Times New Roman" w:hAnsi="Times New Roman" w:cs="Arial"/>
          <w:b/>
          <w:lang w:val="en-GB"/>
        </w:rPr>
      </w:pPr>
      <w:r w:rsidRPr="000143A2">
        <w:rPr>
          <w:rFonts w:ascii="Times New Roman" w:hAnsi="Times New Roman" w:cs="Arial"/>
          <w:b/>
          <w:lang w:val="en-GB"/>
        </w:rPr>
        <w:t xml:space="preserve">Annex 1. Methods for sampling and analysis of chemicals in Canadian consumer products. </w:t>
      </w:r>
    </w:p>
    <w:p w:rsidR="003A15C1" w:rsidRPr="000143A2" w:rsidRDefault="003A15C1" w:rsidP="00547354">
      <w:pPr>
        <w:spacing w:after="0" w:line="240" w:lineRule="auto"/>
        <w:rPr>
          <w:rFonts w:ascii="Times New Roman" w:hAnsi="Times New Roman" w:cs="Arial"/>
          <w:b/>
          <w:lang w:val="en-GB"/>
        </w:rPr>
      </w:pPr>
    </w:p>
    <w:p w:rsidR="003A15C1" w:rsidRPr="000143A2" w:rsidRDefault="003A15C1" w:rsidP="00547354">
      <w:pPr>
        <w:spacing w:after="0" w:line="240" w:lineRule="auto"/>
        <w:rPr>
          <w:rFonts w:ascii="Times New Roman" w:hAnsi="Times New Roman"/>
          <w:lang w:val="en-GB"/>
        </w:rPr>
      </w:pPr>
      <w:r w:rsidRPr="000143A2">
        <w:rPr>
          <w:rFonts w:ascii="Times New Roman" w:hAnsi="Times New Roman"/>
          <w:lang w:val="en-GB"/>
        </w:rPr>
        <w:t>Between January and March 2019, plastic items were purchased in stores and markets in Ottawa, Canada. Mainly black parts of the products were screened using a handheld NITON XL3t 800 XRF analyser in order to identify samples with significant bromine (over 1000 ppm) and antimony levels (over 400 ppm). Positive samples were analysed in a laboratory at the University of Chemistry and Technology, Prague, Czech Republic (GC-MS-NICI).  For purposes of calculation, the components of the commercial OctaBDE mixtures include the following congeners: BDE 153, 154, 183, 196, 197, 203, 206, and 207. The main congener of the commercial DecaBDE mixture is BDE 209.</w:t>
      </w:r>
    </w:p>
    <w:p w:rsidR="003A15C1" w:rsidRPr="000143A2" w:rsidRDefault="003A15C1" w:rsidP="00547354">
      <w:pPr>
        <w:spacing w:after="0" w:line="240" w:lineRule="auto"/>
        <w:rPr>
          <w:rFonts w:ascii="Times New Roman" w:hAnsi="Times New Roman"/>
          <w:lang w:val="en-GB"/>
        </w:rPr>
      </w:pPr>
    </w:p>
    <w:p w:rsidR="003A15C1" w:rsidRPr="000143A2" w:rsidRDefault="003A15C1" w:rsidP="005C45C9">
      <w:pPr>
        <w:spacing w:after="0" w:line="240" w:lineRule="auto"/>
        <w:rPr>
          <w:rFonts w:ascii="Times New Roman" w:hAnsi="Times New Roman"/>
          <w:lang w:val="en-GB"/>
        </w:rPr>
      </w:pPr>
      <w:r w:rsidRPr="000143A2">
        <w:rPr>
          <w:rFonts w:ascii="Times New Roman" w:hAnsi="Times New Roman"/>
          <w:lang w:val="en-GB"/>
        </w:rPr>
        <w:t xml:space="preserve">The study of foam carpet underlay included samples purchased in 2010 in Ottawa, Toronto, Victoria, and Winnipeg. Most samples were screened for bromine using an Olympus InnovX Delta XRF device and positive samples were analyzed for PBDEs at the Institute of Chemical Technology, an accredited laboratory in the Czech Republic. Polybrominated diphenyl ethers (PBDEs) were extracted from the foam samples in a Soxhlet apparatus (7hrs, dichloromethane), the solvent evaporated, and samples re-dissolved in a mixture of hexane:dichloromethane (1:1, v/v).  Clean-up of crude extract was employed on florisil mini-column for GC/MS analysis with a quadrupole analyzer operated in negative chemical ionization (NCI). The samples were injected onto the GC system using a pulsed split-less injection technique and a DB-XLB capillary column (15m x 0.18 mm x 0.07 um) was used for the chromatographic separation of target analytes. Uncertainty in measurements varied 15 – 20%. For purposes of calculation: components of PentaBDE include the following congeners: BDE47, 49, 66, 85, 99, 100; components of OctaBDE include the following congeners: BDE153, 154, 183, 196, 197, 203, 206, and 207; and DecaBDE included BDE209. Note that in most samples (88%), congeners 196, </w:t>
      </w:r>
      <w:bookmarkStart w:id="0" w:name="_GoBack"/>
      <w:bookmarkEnd w:id="0"/>
      <w:r w:rsidRPr="000143A2">
        <w:rPr>
          <w:rFonts w:ascii="Times New Roman" w:hAnsi="Times New Roman"/>
          <w:lang w:val="en-GB"/>
        </w:rPr>
        <w:t>197, 203, 206, and 207 contributed less than 10% of the total concentration.</w:t>
      </w:r>
    </w:p>
    <w:sectPr w:rsidR="003A15C1" w:rsidRPr="000143A2" w:rsidSect="00D912A8">
      <w:footerReference w:type="default" r:id="rId28"/>
      <w:headerReference w:type="first" r:id="rId2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5C1" w:rsidRDefault="003A15C1" w:rsidP="00620FFA">
      <w:pPr>
        <w:spacing w:after="0" w:line="240" w:lineRule="auto"/>
      </w:pPr>
      <w:r>
        <w:separator/>
      </w:r>
    </w:p>
  </w:endnote>
  <w:endnote w:type="continuationSeparator" w:id="0">
    <w:p w:rsidR="003A15C1" w:rsidRDefault="003A15C1" w:rsidP="00620F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C1" w:rsidRDefault="003A15C1">
    <w:pPr>
      <w:pStyle w:val="Footer"/>
      <w:jc w:val="right"/>
    </w:pPr>
    <w:fldSimple w:instr=" PAGE   \* MERGEFORMAT ">
      <w:r>
        <w:rPr>
          <w:noProof/>
        </w:rPr>
        <w:t>4</w:t>
      </w:r>
    </w:fldSimple>
  </w:p>
  <w:p w:rsidR="003A15C1" w:rsidRDefault="003A15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5C1" w:rsidRDefault="003A15C1" w:rsidP="00620FFA">
      <w:pPr>
        <w:spacing w:after="0" w:line="240" w:lineRule="auto"/>
      </w:pPr>
      <w:r>
        <w:separator/>
      </w:r>
    </w:p>
  </w:footnote>
  <w:footnote w:type="continuationSeparator" w:id="0">
    <w:p w:rsidR="003A15C1" w:rsidRDefault="003A15C1" w:rsidP="00620FFA">
      <w:pPr>
        <w:spacing w:after="0" w:line="240" w:lineRule="auto"/>
      </w:pPr>
      <w:r>
        <w:continuationSeparator/>
      </w:r>
    </w:p>
  </w:footnote>
  <w:footnote w:id="1">
    <w:p w:rsidR="003A15C1" w:rsidRDefault="003A15C1">
      <w:pPr>
        <w:pStyle w:val="FootnoteText"/>
      </w:pPr>
      <w:r w:rsidRPr="00056C85">
        <w:rPr>
          <w:rStyle w:val="FootnoteReference"/>
          <w:rFonts w:ascii="Times New Roman" w:hAnsi="Times New Roman"/>
          <w:sz w:val="18"/>
          <w:szCs w:val="18"/>
        </w:rPr>
        <w:footnoteRef/>
      </w:r>
      <w:r w:rsidRPr="00056C85">
        <w:rPr>
          <w:rFonts w:ascii="Times New Roman" w:hAnsi="Times New Roman"/>
          <w:sz w:val="18"/>
          <w:szCs w:val="18"/>
        </w:rPr>
        <w:t xml:space="preserve"> </w:t>
      </w:r>
      <w:r w:rsidRPr="00056C85">
        <w:rPr>
          <w:rFonts w:ascii="Times New Roman" w:hAnsi="Times New Roman"/>
          <w:sz w:val="18"/>
          <w:szCs w:val="18"/>
          <w:lang w:eastAsia="ko-KR"/>
        </w:rPr>
        <w:t xml:space="preserve">Known </w:t>
      </w:r>
      <w:r>
        <w:rPr>
          <w:rFonts w:ascii="Times New Roman" w:hAnsi="Times New Roman"/>
          <w:sz w:val="18"/>
          <w:szCs w:val="18"/>
          <w:lang w:eastAsia="ko-KR"/>
        </w:rPr>
        <w:t>collectively as polybrominated diphenylethers or PBDEs.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C1" w:rsidRDefault="003A15C1" w:rsidP="00462BE5">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5pt;height:60.5pt">
          <v:imagedata r:id="rId1" o:title=""/>
        </v:shape>
      </w:pict>
    </w:r>
    <w:r>
      <w:t xml:space="preserve">      </w:t>
    </w:r>
    <w:r>
      <w:rPr>
        <w:noProof/>
      </w:rPr>
      <w:pict>
        <v:shape id="Picture 1" o:spid="_x0000_i1028" type="#_x0000_t75" style="width:165pt;height:49pt;visibility:visible">
          <v:imagedata r:id="rId2"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AAC"/>
    <w:rsid w:val="0000332C"/>
    <w:rsid w:val="00011936"/>
    <w:rsid w:val="00014046"/>
    <w:rsid w:val="000143A2"/>
    <w:rsid w:val="000470BD"/>
    <w:rsid w:val="00055F93"/>
    <w:rsid w:val="00056C85"/>
    <w:rsid w:val="000740B8"/>
    <w:rsid w:val="000813A6"/>
    <w:rsid w:val="000F49BF"/>
    <w:rsid w:val="00154490"/>
    <w:rsid w:val="001A216B"/>
    <w:rsid w:val="001B1F07"/>
    <w:rsid w:val="001B52E9"/>
    <w:rsid w:val="001B6F98"/>
    <w:rsid w:val="001C1F49"/>
    <w:rsid w:val="001F4B97"/>
    <w:rsid w:val="00222D74"/>
    <w:rsid w:val="0022488A"/>
    <w:rsid w:val="00283C41"/>
    <w:rsid w:val="00321460"/>
    <w:rsid w:val="003720C2"/>
    <w:rsid w:val="003A15C1"/>
    <w:rsid w:val="003C2096"/>
    <w:rsid w:val="003C7919"/>
    <w:rsid w:val="003E3E9E"/>
    <w:rsid w:val="00407D35"/>
    <w:rsid w:val="0042694E"/>
    <w:rsid w:val="004362A6"/>
    <w:rsid w:val="00442D9D"/>
    <w:rsid w:val="00452ABD"/>
    <w:rsid w:val="00453352"/>
    <w:rsid w:val="00453614"/>
    <w:rsid w:val="00462BE5"/>
    <w:rsid w:val="00476A65"/>
    <w:rsid w:val="004A2E7D"/>
    <w:rsid w:val="004C2FCD"/>
    <w:rsid w:val="004D626C"/>
    <w:rsid w:val="004E5637"/>
    <w:rsid w:val="0052530E"/>
    <w:rsid w:val="00531F6C"/>
    <w:rsid w:val="00537821"/>
    <w:rsid w:val="00541140"/>
    <w:rsid w:val="005461D3"/>
    <w:rsid w:val="00547354"/>
    <w:rsid w:val="005751D8"/>
    <w:rsid w:val="005C45C9"/>
    <w:rsid w:val="00620FFA"/>
    <w:rsid w:val="0062458E"/>
    <w:rsid w:val="006765E9"/>
    <w:rsid w:val="00681F0C"/>
    <w:rsid w:val="006A55FD"/>
    <w:rsid w:val="006B707E"/>
    <w:rsid w:val="006D0695"/>
    <w:rsid w:val="006E0E5A"/>
    <w:rsid w:val="006F6141"/>
    <w:rsid w:val="00706014"/>
    <w:rsid w:val="0071795E"/>
    <w:rsid w:val="007258F4"/>
    <w:rsid w:val="007724D5"/>
    <w:rsid w:val="00774B96"/>
    <w:rsid w:val="0078331C"/>
    <w:rsid w:val="00784046"/>
    <w:rsid w:val="007913C5"/>
    <w:rsid w:val="00796090"/>
    <w:rsid w:val="007E4416"/>
    <w:rsid w:val="008218C2"/>
    <w:rsid w:val="008359A7"/>
    <w:rsid w:val="0087144B"/>
    <w:rsid w:val="00877F97"/>
    <w:rsid w:val="008B4BA8"/>
    <w:rsid w:val="008C05DA"/>
    <w:rsid w:val="008C0CE2"/>
    <w:rsid w:val="008D2429"/>
    <w:rsid w:val="00900953"/>
    <w:rsid w:val="00901052"/>
    <w:rsid w:val="009239BF"/>
    <w:rsid w:val="009305BE"/>
    <w:rsid w:val="009313AA"/>
    <w:rsid w:val="009658C4"/>
    <w:rsid w:val="0098648B"/>
    <w:rsid w:val="009B03EC"/>
    <w:rsid w:val="009D1095"/>
    <w:rsid w:val="009D3864"/>
    <w:rsid w:val="009E6E0A"/>
    <w:rsid w:val="009F2D4E"/>
    <w:rsid w:val="00A21AAC"/>
    <w:rsid w:val="00A23610"/>
    <w:rsid w:val="00A642F3"/>
    <w:rsid w:val="00A671B3"/>
    <w:rsid w:val="00AD78BC"/>
    <w:rsid w:val="00AE2D8B"/>
    <w:rsid w:val="00AE60BC"/>
    <w:rsid w:val="00B44DB5"/>
    <w:rsid w:val="00B70189"/>
    <w:rsid w:val="00B93288"/>
    <w:rsid w:val="00B96B76"/>
    <w:rsid w:val="00BC1C5C"/>
    <w:rsid w:val="00BD5A43"/>
    <w:rsid w:val="00BE0768"/>
    <w:rsid w:val="00C26B44"/>
    <w:rsid w:val="00C34A0B"/>
    <w:rsid w:val="00C563C8"/>
    <w:rsid w:val="00C8381B"/>
    <w:rsid w:val="00C841DE"/>
    <w:rsid w:val="00C910D6"/>
    <w:rsid w:val="00CA71A0"/>
    <w:rsid w:val="00D30299"/>
    <w:rsid w:val="00D4001F"/>
    <w:rsid w:val="00D61A2E"/>
    <w:rsid w:val="00D672EA"/>
    <w:rsid w:val="00D912A8"/>
    <w:rsid w:val="00DA1E7A"/>
    <w:rsid w:val="00E12182"/>
    <w:rsid w:val="00E179B6"/>
    <w:rsid w:val="00E20558"/>
    <w:rsid w:val="00E43602"/>
    <w:rsid w:val="00E52F61"/>
    <w:rsid w:val="00E645B8"/>
    <w:rsid w:val="00E74782"/>
    <w:rsid w:val="00E977AB"/>
    <w:rsid w:val="00EF1244"/>
    <w:rsid w:val="00EF62E9"/>
    <w:rsid w:val="00EF6F46"/>
    <w:rsid w:val="00EF6F81"/>
    <w:rsid w:val="00F00826"/>
    <w:rsid w:val="00F11274"/>
    <w:rsid w:val="00F46BFB"/>
    <w:rsid w:val="00F549F2"/>
    <w:rsid w:val="00FB4C7D"/>
    <w:rsid w:val="00FC17B2"/>
    <w:rsid w:val="00FE470A"/>
    <w:rsid w:val="00FF20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Batang"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A0"/>
    <w:pPr>
      <w:spacing w:after="200" w:line="276" w:lineRule="auto"/>
    </w:pPr>
    <w:rPr>
      <w:lang w:val="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B70189"/>
    <w:rPr>
      <w:rFonts w:cs="Times New Roman"/>
      <w:sz w:val="16"/>
      <w:szCs w:val="16"/>
    </w:rPr>
  </w:style>
  <w:style w:type="paragraph" w:styleId="CommentText">
    <w:name w:val="annotation text"/>
    <w:basedOn w:val="Normal"/>
    <w:link w:val="CommentTextChar"/>
    <w:uiPriority w:val="99"/>
    <w:semiHidden/>
    <w:rsid w:val="00B7018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70189"/>
    <w:rPr>
      <w:rFonts w:cs="Times New Roman"/>
      <w:sz w:val="20"/>
      <w:szCs w:val="20"/>
    </w:rPr>
  </w:style>
  <w:style w:type="paragraph" w:styleId="CommentSubject">
    <w:name w:val="annotation subject"/>
    <w:basedOn w:val="CommentText"/>
    <w:next w:val="CommentText"/>
    <w:link w:val="CommentSubjectChar"/>
    <w:uiPriority w:val="99"/>
    <w:semiHidden/>
    <w:rsid w:val="00B70189"/>
    <w:rPr>
      <w:b/>
      <w:bCs/>
    </w:rPr>
  </w:style>
  <w:style w:type="character" w:customStyle="1" w:styleId="CommentSubjectChar">
    <w:name w:val="Comment Subject Char"/>
    <w:basedOn w:val="CommentTextChar"/>
    <w:link w:val="CommentSubject"/>
    <w:uiPriority w:val="99"/>
    <w:semiHidden/>
    <w:locked/>
    <w:rsid w:val="00B70189"/>
    <w:rPr>
      <w:b/>
      <w:bCs/>
    </w:rPr>
  </w:style>
  <w:style w:type="paragraph" w:styleId="BalloonText">
    <w:name w:val="Balloon Text"/>
    <w:basedOn w:val="Normal"/>
    <w:link w:val="BalloonTextChar"/>
    <w:uiPriority w:val="99"/>
    <w:semiHidden/>
    <w:rsid w:val="00B70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0189"/>
    <w:rPr>
      <w:rFonts w:ascii="Tahoma" w:hAnsi="Tahoma" w:cs="Tahoma"/>
      <w:sz w:val="16"/>
      <w:szCs w:val="16"/>
    </w:rPr>
  </w:style>
  <w:style w:type="character" w:styleId="Hyperlink">
    <w:name w:val="Hyperlink"/>
    <w:basedOn w:val="DefaultParagraphFont"/>
    <w:uiPriority w:val="99"/>
    <w:rsid w:val="00453614"/>
    <w:rPr>
      <w:rFonts w:cs="Times New Roman"/>
      <w:color w:val="0000FF"/>
      <w:u w:val="single"/>
    </w:rPr>
  </w:style>
  <w:style w:type="paragraph" w:styleId="FootnoteText">
    <w:name w:val="footnote text"/>
    <w:basedOn w:val="Normal"/>
    <w:link w:val="FootnoteTextChar"/>
    <w:uiPriority w:val="99"/>
    <w:semiHidden/>
    <w:rsid w:val="00620FFA"/>
    <w:pPr>
      <w:spacing w:after="0" w:line="240" w:lineRule="auto"/>
    </w:pPr>
    <w:rPr>
      <w:sz w:val="20"/>
      <w:szCs w:val="20"/>
    </w:rPr>
  </w:style>
  <w:style w:type="character" w:customStyle="1" w:styleId="FootnoteTextChar">
    <w:name w:val="Footnote Text Char"/>
    <w:basedOn w:val="DefaultParagraphFont"/>
    <w:link w:val="FootnoteText"/>
    <w:uiPriority w:val="99"/>
    <w:locked/>
    <w:rsid w:val="00620FFA"/>
    <w:rPr>
      <w:rFonts w:cs="Times New Roman"/>
      <w:sz w:val="20"/>
      <w:szCs w:val="20"/>
    </w:rPr>
  </w:style>
  <w:style w:type="character" w:styleId="FootnoteReference">
    <w:name w:val="footnote reference"/>
    <w:basedOn w:val="DefaultParagraphFont"/>
    <w:uiPriority w:val="99"/>
    <w:semiHidden/>
    <w:rsid w:val="00620FFA"/>
    <w:rPr>
      <w:rFonts w:cs="Times New Roman"/>
      <w:vertAlign w:val="superscript"/>
    </w:rPr>
  </w:style>
  <w:style w:type="table" w:styleId="TableGrid">
    <w:name w:val="Table Grid"/>
    <w:basedOn w:val="TableNormal"/>
    <w:uiPriority w:val="99"/>
    <w:rsid w:val="006B70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9D3864"/>
    <w:rPr>
      <w:rFonts w:cs="Times New Roman"/>
      <w:color w:val="800080"/>
      <w:u w:val="single"/>
    </w:rPr>
  </w:style>
  <w:style w:type="character" w:customStyle="1" w:styleId="UnresolvedMention">
    <w:name w:val="Unresolved Mention"/>
    <w:basedOn w:val="DefaultParagraphFont"/>
    <w:uiPriority w:val="99"/>
    <w:semiHidden/>
    <w:rsid w:val="00283C41"/>
    <w:rPr>
      <w:rFonts w:cs="Times New Roman"/>
      <w:color w:val="auto"/>
      <w:shd w:val="clear" w:color="auto" w:fill="auto"/>
    </w:rPr>
  </w:style>
  <w:style w:type="paragraph" w:styleId="Header">
    <w:name w:val="header"/>
    <w:basedOn w:val="Normal"/>
    <w:link w:val="HeaderChar"/>
    <w:uiPriority w:val="99"/>
    <w:rsid w:val="006A55F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A55FD"/>
    <w:rPr>
      <w:rFonts w:cs="Times New Roman"/>
    </w:rPr>
  </w:style>
  <w:style w:type="paragraph" w:styleId="Footer">
    <w:name w:val="footer"/>
    <w:basedOn w:val="Normal"/>
    <w:link w:val="FooterChar"/>
    <w:uiPriority w:val="99"/>
    <w:rsid w:val="006A55F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A55FD"/>
    <w:rPr>
      <w:rFonts w:cs="Times New Roman"/>
    </w:rPr>
  </w:style>
</w:styles>
</file>

<file path=word/webSettings.xml><?xml version="1.0" encoding="utf-8"?>
<w:webSettings xmlns:r="http://schemas.openxmlformats.org/officeDocument/2006/relationships" xmlns:w="http://schemas.openxmlformats.org/wordprocessingml/2006/main">
  <w:divs>
    <w:div w:id="503472960">
      <w:marLeft w:val="0"/>
      <w:marRight w:val="0"/>
      <w:marTop w:val="0"/>
      <w:marBottom w:val="0"/>
      <w:divBdr>
        <w:top w:val="none" w:sz="0" w:space="0" w:color="auto"/>
        <w:left w:val="none" w:sz="0" w:space="0" w:color="auto"/>
        <w:bottom w:val="none" w:sz="0" w:space="0" w:color="auto"/>
        <w:right w:val="none" w:sz="0" w:space="0" w:color="auto"/>
      </w:divBdr>
    </w:div>
    <w:div w:id="503472961">
      <w:marLeft w:val="0"/>
      <w:marRight w:val="0"/>
      <w:marTop w:val="0"/>
      <w:marBottom w:val="0"/>
      <w:divBdr>
        <w:top w:val="none" w:sz="0" w:space="0" w:color="auto"/>
        <w:left w:val="none" w:sz="0" w:space="0" w:color="auto"/>
        <w:bottom w:val="none" w:sz="0" w:space="0" w:color="auto"/>
        <w:right w:val="none" w:sz="0" w:space="0" w:color="auto"/>
      </w:divBdr>
    </w:div>
    <w:div w:id="503472962">
      <w:marLeft w:val="0"/>
      <w:marRight w:val="0"/>
      <w:marTop w:val="0"/>
      <w:marBottom w:val="0"/>
      <w:divBdr>
        <w:top w:val="none" w:sz="0" w:space="0" w:color="auto"/>
        <w:left w:val="none" w:sz="0" w:space="0" w:color="auto"/>
        <w:bottom w:val="none" w:sz="0" w:space="0" w:color="auto"/>
        <w:right w:val="none" w:sz="0" w:space="0" w:color="auto"/>
      </w:divBdr>
    </w:div>
    <w:div w:id="503472963">
      <w:marLeft w:val="0"/>
      <w:marRight w:val="0"/>
      <w:marTop w:val="0"/>
      <w:marBottom w:val="0"/>
      <w:divBdr>
        <w:top w:val="none" w:sz="0" w:space="0" w:color="auto"/>
        <w:left w:val="none" w:sz="0" w:space="0" w:color="auto"/>
        <w:bottom w:val="none" w:sz="0" w:space="0" w:color="auto"/>
        <w:right w:val="none" w:sz="0" w:space="0" w:color="auto"/>
      </w:divBdr>
    </w:div>
    <w:div w:id="503472964">
      <w:marLeft w:val="0"/>
      <w:marRight w:val="0"/>
      <w:marTop w:val="0"/>
      <w:marBottom w:val="0"/>
      <w:divBdr>
        <w:top w:val="none" w:sz="0" w:space="0" w:color="auto"/>
        <w:left w:val="none" w:sz="0" w:space="0" w:color="auto"/>
        <w:bottom w:val="none" w:sz="0" w:space="0" w:color="auto"/>
        <w:right w:val="none" w:sz="0" w:space="0" w:color="auto"/>
      </w:divBdr>
    </w:div>
    <w:div w:id="503472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a.paradiso@canada.ca" TargetMode="External"/><Relationship Id="rId13" Type="http://schemas.openxmlformats.org/officeDocument/2006/relationships/hyperlink" Target="http://chm.pops.int/Portals/0/download.aspx?d=UNEP-POPS-COP.4-SC-4-18.English.pdf" TargetMode="External"/><Relationship Id="rId18" Type="http://schemas.openxmlformats.org/officeDocument/2006/relationships/hyperlink" Target="https://www.ncbi.nlm.nih.gov/pubmed/?term=pbde+intelligence+herbstman" TargetMode="External"/><Relationship Id="rId26" Type="http://schemas.openxmlformats.org/officeDocument/2006/relationships/hyperlink" Target="http://www.brsmeas.org/2019COPs/Overview/tabid/7523/language/en-US/Default.aspx" TargetMode="External"/><Relationship Id="rId3" Type="http://schemas.openxmlformats.org/officeDocument/2006/relationships/webSettings" Target="webSettings.xml"/><Relationship Id="rId21" Type="http://schemas.openxmlformats.org/officeDocument/2006/relationships/hyperlink" Target="http://chm.pops.int/Implementation/Exemptions/SpecificExemptions/TetraBDEandPentaBDERoSE/tabid/5039/Default.aspx" TargetMode="External"/><Relationship Id="rId7" Type="http://schemas.openxmlformats.org/officeDocument/2006/relationships/hyperlink" Target="mailto:rana.burley@international.gc.ca" TargetMode="External"/><Relationship Id="rId12" Type="http://schemas.openxmlformats.org/officeDocument/2006/relationships/hyperlink" Target="http://chm.pops.int/Portals/0/download.aspx?d=UNEP-POPS-COP.4-SC-4-14.English.pdf" TargetMode="External"/><Relationship Id="rId17" Type="http://schemas.openxmlformats.org/officeDocument/2006/relationships/hyperlink" Target="https://www.ncbi.nlm.nih.gov/pubmed/17904639" TargetMode="External"/><Relationship Id="rId25" Type="http://schemas.openxmlformats.org/officeDocument/2006/relationships/hyperlink" Target="https://ipen.org/sites/default/files/documents/ipen_non_combustion_brief_2019_en.pdf" TargetMode="External"/><Relationship Id="rId2" Type="http://schemas.openxmlformats.org/officeDocument/2006/relationships/settings" Target="settings.xml"/><Relationship Id="rId16" Type="http://schemas.openxmlformats.org/officeDocument/2006/relationships/hyperlink" Target="http://dioxin20xx.org/wp-content/uploads/pdfs/2011/4511.pdf" TargetMode="External"/><Relationship Id="rId20" Type="http://schemas.openxmlformats.org/officeDocument/2006/relationships/hyperlink" Target="https://www.ncbi.nlm.nih.gov/pubmed/?term=Stapleton+HM%2C+Sj%C5%91din+A%2C+Jones+RS%2C+Niehuser+S%2C+Zhang+Y"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Lorraine.Anderson@international.gc.ca" TargetMode="External"/><Relationship Id="rId11" Type="http://schemas.openxmlformats.org/officeDocument/2006/relationships/hyperlink" Target="http://www.cela.ca/" TargetMode="External"/><Relationship Id="rId24" Type="http://schemas.openxmlformats.org/officeDocument/2006/relationships/hyperlink" Target="http://dioxin20xx.org/wp-content/uploads/pdfs/2008/08-351.pdf" TargetMode="External"/><Relationship Id="rId5" Type="http://schemas.openxmlformats.org/officeDocument/2006/relationships/endnotes" Target="endnotes.xml"/><Relationship Id="rId15" Type="http://schemas.openxmlformats.org/officeDocument/2006/relationships/hyperlink" Target="http://chm.pops.int/Portals/0/download.aspx?d=UNEP-POPS-COP.8-SC-8-10.English.pdf" TargetMode="External"/><Relationship Id="rId23" Type="http://schemas.openxmlformats.org/officeDocument/2006/relationships/hyperlink" Target="http://chm.pops.int/Implementation/NIPs/Guidance/GuidanceonBATBEPfortherecyclingofPBDEs/Tabid/3172/Default.aspx" TargetMode="External"/><Relationship Id="rId28" Type="http://schemas.openxmlformats.org/officeDocument/2006/relationships/footer" Target="footer1.xml"/><Relationship Id="rId10" Type="http://schemas.openxmlformats.org/officeDocument/2006/relationships/hyperlink" Target="https://hej-support.org/" TargetMode="External"/><Relationship Id="rId19" Type="http://schemas.openxmlformats.org/officeDocument/2006/relationships/hyperlink" Target="https://www.ncbi.nlm.nih.gov/pubmed/?term=Linking+PBDEs+in+House+Dust+to+Consumer+Products"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gwen.goodier@canada.ca" TargetMode="External"/><Relationship Id="rId14" Type="http://schemas.openxmlformats.org/officeDocument/2006/relationships/hyperlink" Target="http://chm.pops.int/TheConvention/POPsReviewCommittee/Meetings/POPRC6/POPRC6ReportandDecisions/tabid/1312/Default.aspx" TargetMode="External"/><Relationship Id="rId22" Type="http://schemas.openxmlformats.org/officeDocument/2006/relationships/hyperlink" Target="http://chm.pops.int/Implementation/Exemptions/SpecificExemptions/HexaBDEHeptaBDERoSE/tabid/5035/Default.aspx" TargetMode="External"/><Relationship Id="rId27" Type="http://schemas.openxmlformats.org/officeDocument/2006/relationships/hyperlink" Target="https://e.mail.ru/compose/?mailto=mailto%3adeleonf@cela.ca"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4</Pages>
  <Words>1522</Words>
  <Characters>10554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Jitka</dc:creator>
  <cp:keywords/>
  <dc:description/>
  <cp:lastModifiedBy>Olga</cp:lastModifiedBy>
  <cp:revision>5</cp:revision>
  <dcterms:created xsi:type="dcterms:W3CDTF">2019-04-16T12:04:00Z</dcterms:created>
  <dcterms:modified xsi:type="dcterms:W3CDTF">2019-04-16T12:43:00Z</dcterms:modified>
</cp:coreProperties>
</file>